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sz w:val="26"/>
          <w:szCs w:val="26"/>
        </w:rPr>
      </w:pPr>
      <w:r>
        <w:rPr>
          <w:rFonts w:cs="Arial" w:ascii="Verdana" w:hAnsi="Verdana"/>
          <w:b/>
          <w:bCs/>
          <w:smallCaps/>
          <w:color w:val="000000"/>
          <w:sz w:val="26"/>
          <w:szCs w:val="26"/>
        </w:rPr>
        <w:t>PREGÃO ELETRÔNICO Nº 031/2026</w:t>
      </w:r>
    </w:p>
    <w:p>
      <w:pPr>
        <w:pStyle w:val="Normal"/>
        <w:spacing w:lineRule="auto" w:line="240"/>
        <w:jc w:val="center"/>
        <w:rPr>
          <w:rFonts w:ascii="Verdana" w:hAnsi="Verdana"/>
        </w:rPr>
      </w:pPr>
      <w:r>
        <w:rPr>
          <w:rFonts w:cs="Arial" w:ascii="Verdana" w:hAnsi="Verdana"/>
          <w:b/>
          <w:smallCaps/>
          <w:color w:val="000000"/>
          <w:sz w:val="20"/>
          <w:szCs w:val="20"/>
        </w:rPr>
        <w:t>(Processo Administrativo n° 03784/2026 de 01/06/2026)</w:t>
      </w:r>
    </w:p>
    <w:p>
      <w:pPr>
        <w:pStyle w:val="Normal"/>
        <w:spacing w:lineRule="auto" w:line="240" w:before="57" w:after="57"/>
        <w:jc w:val="center"/>
        <w:rPr>
          <w:rFonts w:ascii="Verdana" w:hAnsi="Verdana"/>
          <w:b/>
          <w:bCs/>
          <w:sz w:val="20"/>
          <w:szCs w:val="20"/>
        </w:rPr>
      </w:pPr>
      <w:r>
        <w:rPr>
          <w:rFonts w:ascii="Verdana" w:hAnsi="Verdana"/>
          <w:b/>
          <w:bCs/>
          <w:sz w:val="20"/>
          <w:szCs w:val="20"/>
        </w:rPr>
        <w:t>ID CIDADES: 2026.065E0500003.01.0011</w:t>
      </w:r>
    </w:p>
    <w:p>
      <w:pPr>
        <w:pStyle w:val="Normal"/>
        <w:spacing w:lineRule="auto" w:line="240" w:before="57" w:after="57"/>
        <w:jc w:val="center"/>
        <w:rPr>
          <w:rFonts w:ascii="Verdana" w:hAnsi="Verdana"/>
          <w:b/>
          <w:bCs/>
          <w:sz w:val="20"/>
          <w:szCs w:val="20"/>
        </w:rPr>
      </w:pPr>
      <w:r>
        <w:rPr>
          <w:rFonts w:ascii="Verdana" w:hAnsi="Verdana"/>
          <w:b/>
          <w:bCs/>
          <w:sz w:val="20"/>
          <w:szCs w:val="20"/>
        </w:rPr>
      </w:r>
    </w:p>
    <w:p>
      <w:pPr>
        <w:pStyle w:val="BodyText"/>
        <w:spacing w:lineRule="auto" w:line="240" w:before="0" w:after="0"/>
        <w:jc w:val="both"/>
        <w:rPr>
          <w:rFonts w:ascii="Verdana" w:hAnsi="Verdana"/>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0" w:after="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0" w:after="0"/>
        <w:jc w:val="both"/>
        <w:rPr>
          <w:rFonts w:ascii="Verdana" w:hAnsi="Verdana"/>
        </w:rPr>
      </w:pPr>
      <w:r>
        <w:rPr>
          <w:rFonts w:cs="Arial" w:ascii="Verdana" w:hAnsi="Verdana"/>
          <w:b/>
          <w:bCs/>
          <w:color w:val="000000"/>
          <w:sz w:val="20"/>
          <w:szCs w:val="20"/>
        </w:rPr>
        <w:t>Data da sessão: 10/09/2026.</w:t>
      </w:r>
    </w:p>
    <w:p>
      <w:pPr>
        <w:pStyle w:val="Normal"/>
        <w:spacing w:lineRule="auto" w:line="240" w:before="0" w:after="0"/>
        <w:rPr>
          <w:rFonts w:ascii="Verdana" w:hAnsi="Verdana"/>
        </w:rPr>
      </w:pPr>
      <w:r>
        <w:rPr>
          <w:rFonts w:cs="Arial" w:ascii="Verdana" w:hAnsi="Verdana"/>
          <w:b/>
          <w:bCs/>
          <w:color w:val="000000"/>
          <w:sz w:val="20"/>
          <w:szCs w:val="20"/>
        </w:rPr>
        <w:t>Horário: 13h00min.</w:t>
      </w:r>
    </w:p>
    <w:p>
      <w:pPr>
        <w:pStyle w:val="Normal"/>
        <w:spacing w:lineRule="auto" w:line="240" w:before="0" w:after="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Style6"/>
            <w:rFonts w:cs="Arial" w:ascii="Verdana" w:hAnsi="Verdana"/>
            <w:b/>
            <w:bCs/>
            <w:color w:val="0563C1"/>
            <w:sz w:val="20"/>
            <w:szCs w:val="20"/>
            <w:u w:val="single"/>
          </w:rPr>
          <w:t>www.portaldecompraspublicas.com.br</w:t>
        </w:r>
      </w:hyperlink>
      <w:bookmarkEnd w:id="0"/>
    </w:p>
    <w:p>
      <w:pPr>
        <w:pStyle w:val="Normal"/>
        <w:spacing w:lineRule="auto" w:line="240" w:before="0" w:after="0"/>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rPr>
      </w:pPr>
      <w:r>
        <w:rPr>
          <w:rFonts w:cs="Arial" w:ascii="Verdana" w:hAnsi="Verdana"/>
          <w:sz w:val="20"/>
          <w:szCs w:val="20"/>
        </w:rPr>
        <w:t>DO OBJETO</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rPr>
        <w:t>1.1 O objeto da presente licitação é a aquisição de gêneros alimentícios para em atendimento ao Programa Nacional de Alimentação Escolar – PNAE para atender as necessidades da Secretaria Municipal de Educação</w:t>
      </w:r>
      <w:r>
        <w:rPr>
          <w:rFonts w:eastAsia="Batang;바탕" w:cs="Arial" w:ascii="Verdana" w:hAnsi="Verdana"/>
          <w:color w:val="000000"/>
          <w:kern w:val="2"/>
          <w:sz w:val="20"/>
          <w:szCs w:val="20"/>
          <w:lang w:eastAsia="en-US" w:bidi="pt-BR"/>
        </w:rPr>
        <w:t>, deste município, conforme c</w:t>
      </w:r>
      <w:r>
        <w:rPr>
          <w:rFonts w:cs="Arial" w:ascii="Verdana" w:hAnsi="Verdana"/>
          <w:sz w:val="20"/>
          <w:szCs w:val="20"/>
        </w:rPr>
        <w:t>ondições, quantidades e exigências estabelecidas neste Edital e seus anexos.</w:t>
      </w:r>
    </w:p>
    <w:p>
      <w:pPr>
        <w:pStyle w:val="Normal"/>
        <w:spacing w:lineRule="auto" w:line="240" w:before="0" w:after="0"/>
        <w:jc w:val="both"/>
        <w:rPr>
          <w:rFonts w:ascii="Verdana" w:hAnsi="Verdana"/>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Default"/>
        <w:tabs>
          <w:tab w:val="clear" w:pos="720"/>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40" w:before="0" w:after="0"/>
        <w:jc w:val="both"/>
        <w:rPr>
          <w:rFonts w:ascii="Verdana" w:hAnsi="Verdana"/>
        </w:rPr>
      </w:pPr>
      <w:r>
        <w:rPr>
          <w:rFonts w:ascii="Verdana" w:hAnsi="Verdana"/>
          <w:sz w:val="20"/>
          <w:szCs w:val="20"/>
          <w:shd w:fill="FFFF00" w:val="clear"/>
        </w:rPr>
        <w:t xml:space="preserve"> </w:t>
      </w:r>
      <w:r>
        <w:rPr>
          <w:rFonts w:ascii="Verdana" w:hAnsi="Verdana"/>
          <w:b/>
          <w:sz w:val="20"/>
          <w:szCs w:val="20"/>
          <w:shd w:fill="FFFF00" w:val="clear"/>
        </w:rPr>
        <w:t xml:space="preserve">1.3 A licitação </w:t>
      </w:r>
      <w:r>
        <w:rPr>
          <w:rFonts w:ascii="Verdana" w:hAnsi="Verdana"/>
          <w:b/>
          <w:sz w:val="20"/>
          <w:szCs w:val="20"/>
          <w:shd w:fill="FFFF00" w:val="clear"/>
        </w:rPr>
        <w:t>referente aos itens 1 a 12, 15 a 22 e 24 a 41 ocor</w:t>
      </w:r>
      <w:r>
        <w:rPr>
          <w:rFonts w:ascii="Verdana" w:hAnsi="Verdana"/>
          <w:b/>
          <w:sz w:val="20"/>
          <w:szCs w:val="20"/>
          <w:shd w:fill="FFFF00" w:val="clear"/>
        </w:rPr>
        <w:t xml:space="preserve">rerá com exclusividade para as microempresas e ou empresas de pequeno porte. </w:t>
      </w:r>
      <w:r>
        <w:rPr>
          <w:rFonts w:ascii="Verdana" w:hAnsi="Verdana"/>
          <w:b/>
          <w:sz w:val="20"/>
          <w:szCs w:val="20"/>
          <w:shd w:fill="FFFF00" w:val="clear"/>
        </w:rPr>
        <w:t>Os demais itens ocorrerão para ampla concorrência.</w:t>
      </w:r>
      <w:r>
        <w:rPr>
          <w:rFonts w:ascii="Verdana" w:hAnsi="Verdana"/>
          <w:b/>
          <w:sz w:val="20"/>
          <w:szCs w:val="20"/>
          <w:shd w:fill="FFFF00" w:val="clear"/>
        </w:rPr>
        <w:t xml:space="preserve"> </w:t>
      </w:r>
    </w:p>
    <w:p>
      <w:pPr>
        <w:pStyle w:val="Default"/>
        <w:spacing w:lineRule="auto" w:line="240"/>
        <w:rPr>
          <w:rFonts w:ascii="Verdana" w:hAnsi="Verdana"/>
          <w:b/>
          <w:sz w:val="20"/>
          <w:szCs w:val="20"/>
        </w:rPr>
      </w:pPr>
      <w:r>
        <w:rPr>
          <w:rFonts w:ascii="Verdana" w:hAnsi="Verdana"/>
          <w:b/>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sz w:val="20"/>
          <w:szCs w:val="20"/>
        </w:rPr>
        <w:t>DOS RECURSOS ORÇAMENTÁRIOS</w:t>
      </w:r>
    </w:p>
    <w:p>
      <w:pPr>
        <w:pStyle w:val="Normal"/>
        <w:spacing w:lineRule="auto" w:line="240" w:before="0" w:after="0"/>
        <w:jc w:val="both"/>
        <w:rPr>
          <w:rFonts w:ascii="Verdana" w:hAnsi="Verdana"/>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numPr>
          <w:ilvl w:val="0"/>
          <w:numId w:val="4"/>
        </w:numPr>
        <w:spacing w:lineRule="auto" w:line="240" w:before="57" w:after="57"/>
        <w:ind w:hanging="0" w:left="0"/>
        <w:jc w:val="both"/>
        <w:rPr>
          <w:rFonts w:ascii="Verdana" w:hAnsi="Verdana"/>
        </w:rPr>
      </w:pPr>
      <w:r>
        <w:rPr>
          <w:rFonts w:cs="Times New Roman" w:ascii="Verdana" w:hAnsi="Verdana"/>
          <w:b/>
          <w:bCs/>
          <w:sz w:val="20"/>
          <w:szCs w:val="20"/>
          <w:lang w:eastAsia="ar-SA"/>
        </w:rPr>
        <w:t xml:space="preserve">Secretaria Municipal de Educação: </w:t>
      </w:r>
      <w:r>
        <w:rPr>
          <w:rFonts w:cs="Times New Roman" w:ascii="Verdana" w:hAnsi="Verdana"/>
          <w:color w:val="000000"/>
          <w:sz w:val="20"/>
          <w:szCs w:val="20"/>
          <w:lang w:eastAsia="ar-SA"/>
        </w:rPr>
        <w:t>Ficha/Fonte: 598 – 15520000000000.</w:t>
      </w:r>
    </w:p>
    <w:p>
      <w:pPr>
        <w:pStyle w:val="Normal"/>
        <w:spacing w:lineRule="auto" w:line="240" w:before="0" w:after="0"/>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rPr>
      </w:pPr>
      <w:r>
        <w:rPr>
          <w:rFonts w:cs="Arial" w:ascii="Verdana" w:hAnsi="Verdana"/>
          <w:sz w:val="20"/>
          <w:szCs w:val="20"/>
        </w:rPr>
        <w:t>DO CREDENCIAMENTO</w:t>
      </w:r>
    </w:p>
    <w:p>
      <w:pPr>
        <w:pStyle w:val="Default"/>
        <w:spacing w:lineRule="auto" w:line="240" w:before="57" w:after="57"/>
        <w:jc w:val="both"/>
        <w:rPr>
          <w:rFonts w:ascii="Verdana" w:hAnsi="Verdana"/>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before="57" w:after="57"/>
        <w:jc w:val="both"/>
        <w:rPr>
          <w:rFonts w:ascii="Verdana" w:hAnsi="Verdana"/>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before="57" w:after="57"/>
        <w:jc w:val="both"/>
        <w:rPr>
          <w:rFonts w:ascii="Verdana" w:hAnsi="Verdana"/>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before="57" w:after="57"/>
        <w:jc w:val="both"/>
        <w:rPr>
          <w:rFonts w:ascii="Verdana" w:hAnsi="Verdana"/>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40" w:before="57" w:after="57"/>
        <w:jc w:val="both"/>
        <w:rPr>
          <w:rFonts w:ascii="Verdana" w:hAnsi="Verdana"/>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57" w:after="57"/>
        <w:jc w:val="both"/>
        <w:rPr>
          <w:rFonts w:ascii="Verdana" w:hAnsi="Verdana"/>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sz w:val="20"/>
          <w:szCs w:val="20"/>
        </w:rPr>
        <w:t>DA PARTICIPAÇÃO NO PREGÃO.</w:t>
      </w:r>
    </w:p>
    <w:p>
      <w:pPr>
        <w:pStyle w:val="Normal"/>
        <w:spacing w:lineRule="auto" w:line="240" w:before="57" w:after="57"/>
        <w:jc w:val="both"/>
        <w:rPr>
          <w:rFonts w:ascii="Verdana" w:hAnsi="Verdana"/>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jc w:val="both"/>
        <w:rPr>
          <w:rFonts w:ascii="Verdana" w:hAnsi="Verdana"/>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rFonts w:ascii="Verdana" w:hAnsi="Verdana"/>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40" w:before="57" w:after="57"/>
        <w:jc w:val="both"/>
        <w:rPr>
          <w:rFonts w:ascii="Verdana" w:hAnsi="Verdana"/>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a certidão expedida pela Junta Comercial da região sede da empresa,</w:t>
      </w:r>
      <w:r>
        <w:rPr>
          <w:rFonts w:cs="Arial" w:ascii="Verdana" w:hAnsi="Verdana"/>
          <w:sz w:val="20"/>
          <w:szCs w:val="20"/>
        </w:rPr>
        <w:t xml:space="preserve"> demonstrando a situação de enquadramento, emitida a partir do ano de </w:t>
      </w:r>
      <w:r>
        <w:rPr>
          <w:rFonts w:cs="Arial" w:ascii="Verdana" w:hAnsi="Verdana"/>
          <w:b/>
          <w:color w:val="FF0000"/>
          <w:sz w:val="20"/>
          <w:szCs w:val="20"/>
        </w:rPr>
        <w:t xml:space="preserve">2026,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240" w:before="57" w:after="57"/>
        <w:jc w:val="both"/>
        <w:rPr>
          <w:rFonts w:ascii="Verdana" w:hAnsi="Verdana"/>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bCs/>
          <w:color w:val="000000"/>
          <w:sz w:val="20"/>
          <w:szCs w:val="20"/>
        </w:rPr>
        <w:t>4.3.3 A</w:t>
      </w:r>
      <w:bookmarkStart w:id="1"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1"/>
    </w:p>
    <w:p>
      <w:pPr>
        <w:pStyle w:val="Normal"/>
        <w:tabs>
          <w:tab w:val="clear" w:pos="720"/>
          <w:tab w:val="left" w:pos="1440" w:leader="none"/>
        </w:tabs>
        <w:snapToGrid w:val="false"/>
        <w:spacing w:lineRule="auto" w:line="240" w:before="57" w:after="57"/>
        <w:jc w:val="both"/>
        <w:rPr>
          <w:rFonts w:ascii="Verdana" w:hAnsi="Verdana"/>
        </w:rPr>
      </w:pPr>
      <w:r>
        <w:rPr>
          <w:rFonts w:eastAsia="Arial Unicode MS" w:cs="Arial" w:ascii="Verdana" w:hAnsi="Verdana"/>
          <w:color w:val="000000"/>
          <w:sz w:val="20"/>
          <w:szCs w:val="20"/>
        </w:rPr>
        <w:t>4.3.4 E</w:t>
      </w:r>
      <w:bookmarkStart w:id="2"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4.3.5 P</w:t>
      </w:r>
      <w:bookmarkStart w:id="3"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3"/>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4.3.7 E</w:t>
      </w:r>
      <w:bookmarkStart w:id="4" w:name="_Ref113883579"/>
      <w:r>
        <w:rPr>
          <w:rFonts w:cs="Arial" w:ascii="Verdana" w:hAnsi="Verdana"/>
          <w:color w:val="000000"/>
          <w:sz w:val="20"/>
          <w:szCs w:val="20"/>
        </w:rPr>
        <w:t>mpresas controladoras, controladas ou coligadas, nos termos da Lei nº 6.404, de 15 de dezembro de 1976, concorrendo entre si;</w:t>
      </w:r>
      <w:bookmarkEnd w:id="4"/>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rFonts w:ascii="Verdana" w:hAnsi="Verdana"/>
        </w:rPr>
      </w:pPr>
      <w:r>
        <w:rPr>
          <w:rFonts w:cs="Arial" w:ascii="Verdana" w:hAnsi="Verdana"/>
          <w:color w:val="000000"/>
          <w:sz w:val="20"/>
          <w:szCs w:val="20"/>
        </w:rPr>
        <w:t>4.3.9 A</w:t>
      </w:r>
      <w:bookmarkStart w:id="5" w:name="_Ref113962336"/>
      <w:r>
        <w:rPr>
          <w:rFonts w:cs="Arial" w:ascii="Verdana" w:hAnsi="Verdana"/>
          <w:color w:val="000000"/>
          <w:sz w:val="20"/>
          <w:szCs w:val="20"/>
        </w:rPr>
        <w:t>gente público do órgão ou entidade licitante;</w:t>
      </w:r>
      <w:bookmarkEnd w:id="5"/>
    </w:p>
    <w:p>
      <w:pPr>
        <w:pStyle w:val="Normal"/>
        <w:snapToGrid w:val="false"/>
        <w:spacing w:lineRule="auto" w:line="240" w:before="57" w:after="57"/>
        <w:jc w:val="both"/>
        <w:rPr>
          <w:rFonts w:ascii="Verdana" w:hAnsi="Verdana"/>
        </w:rPr>
      </w:pPr>
      <w:r>
        <w:rPr>
          <w:rFonts w:cs="Arial" w:ascii="Verdana" w:hAnsi="Verdana"/>
          <w:bCs/>
          <w:color w:val="000000"/>
          <w:sz w:val="20"/>
          <w:szCs w:val="20"/>
        </w:rPr>
        <w:t>4.3.10 Pessoas jurídicas reunidas em consórcio;</w:t>
      </w:r>
    </w:p>
    <w:p>
      <w:pPr>
        <w:pStyle w:val="Normal"/>
        <w:snapToGrid w:val="false"/>
        <w:spacing w:lineRule="auto" w:line="240" w:before="57" w:after="57"/>
        <w:jc w:val="both"/>
        <w:rPr>
          <w:rFonts w:ascii="Verdana" w:hAnsi="Verdana"/>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57" w:after="57"/>
        <w:ind w:hanging="0" w:left="0"/>
        <w:rPr>
          <w:rFonts w:ascii="Verdana" w:hAnsi="Verdana"/>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57" w:after="57"/>
        <w:ind w:hanging="0" w:left="0"/>
        <w:rPr>
          <w:rFonts w:ascii="Verdana" w:hAnsi="Verdana"/>
        </w:rPr>
      </w:pPr>
      <w:bookmarkStart w:id="6" w:name="art14§2"/>
      <w:bookmarkEnd w:id="6"/>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57" w:after="57"/>
        <w:ind w:hanging="0" w:left="0"/>
        <w:rPr>
          <w:rFonts w:ascii="Verdana" w:hAnsi="Verdana"/>
        </w:rPr>
      </w:pPr>
      <w:bookmarkStart w:id="7" w:name="art14§3"/>
      <w:bookmarkEnd w:id="7"/>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40" w:before="57" w:after="57"/>
        <w:ind w:hanging="0" w:left="0"/>
        <w:rPr>
          <w:rFonts w:ascii="Verdana" w:hAnsi="Verdana"/>
        </w:rPr>
      </w:pPr>
      <w:bookmarkStart w:id="8" w:name="art14§4"/>
      <w:bookmarkEnd w:id="8"/>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57" w:after="57"/>
        <w:ind w:hanging="0" w:left="0"/>
        <w:rPr/>
      </w:pPr>
      <w:bookmarkStart w:id="9" w:name="art14§5"/>
      <w:bookmarkEnd w:id="9"/>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40" w:before="0" w:after="0"/>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rPr>
      </w:pPr>
      <w:r>
        <w:rPr>
          <w:rFonts w:cs="Arial" w:ascii="Verdana" w:hAnsi="Verdana"/>
          <w:sz w:val="20"/>
          <w:szCs w:val="20"/>
        </w:rPr>
        <w:t>DA APRESENTAÇÃO DA PROPOSTA E DOS DOCUMENTOS DE HABILITAÇÃO</w:t>
      </w:r>
    </w:p>
    <w:p>
      <w:pPr>
        <w:pStyle w:val="Normal"/>
        <w:numPr>
          <w:ilvl w:val="1"/>
          <w:numId w:val="2"/>
        </w:numPr>
        <w:tabs>
          <w:tab w:val="clear" w:pos="720"/>
          <w:tab w:val="left" w:pos="450" w:leader="none"/>
          <w:tab w:val="left" w:pos="1450" w:leader="none"/>
        </w:tabs>
        <w:spacing w:lineRule="auto" w:line="240" w:before="57" w:after="57"/>
        <w:ind w:hanging="0" w:left="0"/>
        <w:jc w:val="both"/>
        <w:rPr>
          <w:rFonts w:ascii="Verdana" w:hAnsi="Verdana"/>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
        </w:numPr>
        <w:tabs>
          <w:tab w:val="clear" w:pos="720"/>
          <w:tab w:val="left" w:pos="450" w:leader="none"/>
        </w:tabs>
        <w:spacing w:lineRule="auto" w:line="240" w:before="57" w:after="57"/>
        <w:ind w:hanging="0" w:left="0"/>
        <w:jc w:val="both"/>
        <w:rPr>
          <w:rFonts w:ascii="Verdana" w:hAnsi="Verdana"/>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
        </w:numPr>
        <w:tabs>
          <w:tab w:val="clear" w:pos="720"/>
          <w:tab w:val="left" w:pos="450" w:leader="none"/>
        </w:tabs>
        <w:spacing w:lineRule="auto" w:line="240" w:before="57" w:after="57"/>
        <w:ind w:hanging="0" w:left="0"/>
        <w:jc w:val="both"/>
        <w:rPr>
          <w:rFonts w:ascii="Verdana" w:hAnsi="Verdana"/>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
        </w:numPr>
        <w:tabs>
          <w:tab w:val="clear" w:pos="720"/>
          <w:tab w:val="left" w:pos="450" w:leader="none"/>
        </w:tabs>
        <w:spacing w:lineRule="auto" w:line="240" w:before="57" w:after="57"/>
        <w:ind w:hanging="0" w:left="0"/>
        <w:jc w:val="both"/>
        <w:rPr>
          <w:rFonts w:ascii="Verdana" w:hAnsi="Verdana"/>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40"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sz w:val="20"/>
          <w:szCs w:val="20"/>
        </w:rPr>
        <w:t>DO PREENCHIMENTO DA PROPOSTA</w:t>
      </w:r>
    </w:p>
    <w:p>
      <w:pPr>
        <w:pStyle w:val="Normal"/>
        <w:numPr>
          <w:ilvl w:val="1"/>
          <w:numId w:val="2"/>
        </w:numPr>
        <w:tabs>
          <w:tab w:val="clear" w:pos="720"/>
          <w:tab w:val="left" w:pos="450" w:leader="none"/>
        </w:tabs>
        <w:spacing w:lineRule="auto" w:line="240" w:before="57" w:after="57"/>
        <w:ind w:hanging="0" w:left="0"/>
        <w:jc w:val="both"/>
        <w:rPr>
          <w:rFonts w:ascii="Verdana" w:hAnsi="Verdana"/>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40" w:before="57" w:after="57"/>
        <w:ind w:hanging="0" w:left="0"/>
        <w:jc w:val="both"/>
        <w:rPr>
          <w:rFonts w:ascii="Verdana" w:hAnsi="Verdana"/>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40" w:before="57" w:after="57"/>
        <w:jc w:val="both"/>
        <w:rPr>
          <w:rFonts w:ascii="Verdana" w:hAnsi="Verdana"/>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40" w:before="57" w:after="57"/>
        <w:jc w:val="both"/>
        <w:rPr>
          <w:rFonts w:ascii="Verdana" w:hAnsi="Verdana"/>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40" w:before="57" w:after="57"/>
        <w:jc w:val="both"/>
        <w:rPr>
          <w:rFonts w:ascii="Verdana" w:hAnsi="Verdana"/>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40" w:before="57" w:after="57"/>
        <w:jc w:val="both"/>
        <w:rPr>
          <w:rFonts w:ascii="Verdana" w:hAnsi="Verdana"/>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40" w:before="57" w:after="57"/>
        <w:jc w:val="both"/>
        <w:rPr>
          <w:rFonts w:ascii="Verdana" w:hAnsi="Verdana"/>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40" w:before="57" w:after="57"/>
        <w:jc w:val="both"/>
        <w:rPr>
          <w:rFonts w:ascii="Verdana" w:hAnsi="Verdana"/>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40" w:before="0" w:after="0"/>
        <w:jc w:val="both"/>
        <w:rPr>
          <w:rFonts w:ascii="Verdana" w:hAnsi="Verdana"/>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lineRule="auto" w:line="240" w:before="0" w:after="0"/>
        <w:ind w:hanging="0" w:left="0"/>
        <w:rPr>
          <w:rFonts w:ascii="Verdana" w:hAnsi="Verdana" w:eastAsia="Segoe UI" w:cs="Arial"/>
          <w:color w:val="000000"/>
          <w:sz w:val="20"/>
          <w:szCs w:val="20"/>
        </w:rPr>
      </w:pPr>
      <w:r>
        <w:rPr>
          <w:rFonts w:eastAsia="Segoe UI" w:cs="Arial" w:ascii="Verdana" w:hAnsi="Verdana"/>
          <w:color w:val="000000"/>
          <w:sz w:val="20"/>
          <w:szCs w:val="20"/>
        </w:rPr>
      </w:r>
    </w:p>
    <w:p>
      <w:pPr>
        <w:pStyle w:val="Nivel01"/>
        <w:numPr>
          <w:ilvl w:val="0"/>
          <w:numId w:val="2"/>
        </w:numPr>
        <w:spacing w:lineRule="auto" w:line="240" w:before="0" w:after="0"/>
        <w:ind w:hanging="0" w:left="0"/>
        <w:rPr>
          <w:rFonts w:ascii="Verdana" w:hAnsi="Verdana"/>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Pr>
          <w:rFonts w:ascii="Verdana" w:hAnsi="Verdana"/>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40" w:before="57" w:after="57"/>
        <w:jc w:val="both"/>
        <w:rPr>
          <w:rFonts w:ascii="Verdana" w:hAnsi="Verdana"/>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40" w:before="57" w:after="57"/>
        <w:jc w:val="both"/>
        <w:rPr>
          <w:rFonts w:ascii="Verdana" w:hAnsi="Verdana"/>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left="0"/>
        <w:contextualSpacing w:val="false"/>
        <w:jc w:val="both"/>
        <w:rPr>
          <w:rFonts w:ascii="Verdana" w:hAnsi="Verdana"/>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left="0"/>
        <w:contextualSpacing w:val="false"/>
        <w:jc w:val="both"/>
        <w:rPr>
          <w:rFonts w:ascii="Verdana" w:hAnsi="Verdana"/>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7.10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7.11. Encerrado o prazo previsto no item anterior, o sistema abrir</w:t>
      </w:r>
      <w:r>
        <w:rPr>
          <w:rFonts w:ascii="Verdana" w:hAnsi="Verdana"/>
          <w:sz w:val="20"/>
          <w:szCs w:val="20"/>
        </w:rPr>
        <w:t>á oportunidade para que o autor da oferta de valor mais baixo e os das ofertas com preços até dez por cento superior àquela possam ofertar um lance final e fechado em até cinco minutos, o qual será sigiloso até o encerramento deste prazo.</w:t>
      </w:r>
    </w:p>
    <w:p>
      <w:pPr>
        <w:pStyle w:val="Normal"/>
        <w:spacing w:lineRule="auto" w:line="240" w:before="57" w:after="57"/>
        <w:jc w:val="both"/>
        <w:rPr>
          <w:rFonts w:ascii="Verdana" w:hAnsi="Verdana"/>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240" w:before="57" w:after="57"/>
        <w:jc w:val="both"/>
        <w:rPr>
          <w:rFonts w:ascii="Verdana" w:hAnsi="Verdana"/>
        </w:rPr>
      </w:pPr>
      <w:r>
        <w:rPr>
          <w:rFonts w:ascii="Verdana" w:hAnsi="Verdana"/>
          <w:sz w:val="20"/>
          <w:szCs w:val="20"/>
        </w:rPr>
        <w:t>7.12. Após o término dos prazos estabelecidos nos itens anteriores, o sistema ordenará os lances segundo a ordem crescente de valores.</w:t>
      </w:r>
    </w:p>
    <w:p>
      <w:pPr>
        <w:pStyle w:val="Normal"/>
        <w:spacing w:lineRule="auto" w:line="240" w:before="57" w:after="57"/>
        <w:jc w:val="both"/>
        <w:rPr>
          <w:rFonts w:ascii="Verdana" w:hAnsi="Verdana"/>
        </w:rPr>
      </w:pPr>
      <w:r>
        <w:rPr>
          <w:rFonts w:ascii="Verdana" w:hAnsi="Verdana"/>
          <w:sz w:val="20"/>
          <w:szCs w:val="20"/>
        </w:rPr>
        <w:t>7.12.1.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240" w:before="57" w:after="57"/>
        <w:jc w:val="both"/>
        <w:rPr>
          <w:rFonts w:ascii="Verdana" w:hAnsi="Verdana"/>
        </w:rPr>
      </w:pPr>
      <w:r>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pPr>
        <w:pStyle w:val="Normal"/>
        <w:spacing w:lineRule="auto" w:line="240" w:before="57" w:after="57"/>
        <w:jc w:val="both"/>
        <w:rPr>
          <w:rFonts w:ascii="Verdana" w:hAnsi="Verdana"/>
        </w:rPr>
      </w:pPr>
      <w:r>
        <w:rPr>
          <w:rFonts w:cs="Arial" w:ascii="Verdana" w:hAnsi="Verdana"/>
          <w:color w:val="000000"/>
          <w:sz w:val="20"/>
          <w:szCs w:val="20"/>
        </w:rPr>
        <w:t>7.14 Não serão aceitos dois ou mais lances de mesmo valor, prevalecendo aquele que for recebido e registrado em primeiro lugar.</w:t>
      </w:r>
    </w:p>
    <w:p>
      <w:pPr>
        <w:pStyle w:val="Normal"/>
        <w:spacing w:lineRule="auto" w:line="240" w:before="57" w:after="57"/>
        <w:jc w:val="both"/>
        <w:rPr>
          <w:rFonts w:ascii="Verdana" w:hAnsi="Verdana"/>
        </w:rPr>
      </w:pPr>
      <w:r>
        <w:rPr>
          <w:rFonts w:cs="Arial" w:ascii="Verdana" w:hAnsi="Verdana"/>
          <w:color w:val="000000"/>
          <w:sz w:val="20"/>
          <w:szCs w:val="20"/>
        </w:rPr>
        <w:t xml:space="preserve">7.15 Durante o transcurso da sessão pública, os licitantes serão informados, em tempo real, do valor do menor lance registrado, vedada a identificação do licitante. </w:t>
      </w:r>
    </w:p>
    <w:p>
      <w:pPr>
        <w:pStyle w:val="Normal"/>
        <w:spacing w:lineRule="auto" w:line="240" w:before="57" w:after="57"/>
        <w:jc w:val="both"/>
        <w:rPr>
          <w:rFonts w:ascii="Verdana" w:hAnsi="Verdana"/>
        </w:rPr>
      </w:pPr>
      <w:r>
        <w:rPr>
          <w:rFonts w:cs="Arial" w:ascii="Verdana" w:hAnsi="Verdana"/>
          <w:color w:val="000000"/>
          <w:sz w:val="20"/>
          <w:szCs w:val="20"/>
        </w:rPr>
        <w:t xml:space="preserve">7.16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rFonts w:ascii="Verdana" w:hAnsi="Verdana"/>
        </w:rPr>
      </w:pPr>
      <w:r>
        <w:rPr>
          <w:rFonts w:cs="Arial" w:ascii="Verdana" w:hAnsi="Verdana"/>
          <w:color w:val="000000"/>
          <w:sz w:val="20"/>
          <w:szCs w:val="20"/>
        </w:rPr>
        <w:t xml:space="preserve">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spacing w:lineRule="auto" w:line="240" w:before="57" w:after="57"/>
        <w:jc w:val="both"/>
        <w:rPr>
          <w:rFonts w:ascii="Verdana" w:hAnsi="Verdana"/>
        </w:rPr>
      </w:pPr>
      <w:r>
        <w:rPr>
          <w:rFonts w:cs="Arial" w:ascii="Verdana" w:hAnsi="Verdana"/>
          <w:color w:val="000000"/>
          <w:sz w:val="20"/>
          <w:szCs w:val="20"/>
        </w:rPr>
        <w:t>7.18 O Critério de julgamento adotado será o menor preço, conforme definido neste Edital e seus anexos.</w:t>
      </w:r>
    </w:p>
    <w:p>
      <w:pPr>
        <w:pStyle w:val="Normal"/>
        <w:spacing w:lineRule="auto" w:line="240" w:before="57" w:after="57"/>
        <w:jc w:val="both"/>
        <w:rPr>
          <w:rFonts w:ascii="Verdana" w:hAnsi="Verdana"/>
        </w:rPr>
      </w:pPr>
      <w:r>
        <w:rPr>
          <w:rFonts w:cs="Arial" w:ascii="Verdana" w:hAnsi="Verdana"/>
          <w:color w:val="000000"/>
          <w:sz w:val="20"/>
          <w:szCs w:val="20"/>
        </w:rPr>
        <w:t>7.19 Caso o licitante não apresente lances, concorrerá com o valor de sua proposta.</w:t>
      </w:r>
    </w:p>
    <w:p>
      <w:pPr>
        <w:pStyle w:val="Normal"/>
        <w:spacing w:lineRule="auto" w:line="240" w:before="57" w:after="57"/>
        <w:jc w:val="both"/>
        <w:rPr>
          <w:rFonts w:ascii="Verdana" w:hAnsi="Verdana"/>
        </w:rPr>
      </w:pPr>
      <w:r>
        <w:rPr>
          <w:rFonts w:cs="Arial" w:ascii="Verdana" w:hAnsi="Verdana"/>
          <w:color w:val="000000"/>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rFonts w:ascii="Verdana" w:hAnsi="Verdana"/>
        </w:rPr>
      </w:pPr>
      <w:r>
        <w:rPr>
          <w:rFonts w:cs="Arial" w:ascii="Verdana" w:hAnsi="Verdana"/>
          <w:color w:val="000000"/>
          <w:sz w:val="20"/>
          <w:szCs w:val="20"/>
        </w:rPr>
        <w:t>7.21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rFonts w:ascii="Verdana" w:hAnsi="Verdana"/>
        </w:rPr>
      </w:pPr>
      <w:r>
        <w:rPr>
          <w:rFonts w:cs="Arial" w:ascii="Verdana" w:hAnsi="Verdana"/>
          <w:color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rFonts w:ascii="Verdana" w:hAnsi="Verdana"/>
        </w:rPr>
      </w:pPr>
      <w:r>
        <w:rPr>
          <w:rFonts w:cs="Arial" w:ascii="Verdana" w:hAnsi="Verdana"/>
          <w:color w:val="000000"/>
          <w:sz w:val="20"/>
          <w:szCs w:val="20"/>
        </w:rPr>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rFonts w:ascii="Verdana" w:hAnsi="Verdana"/>
        </w:rPr>
      </w:pPr>
      <w:r>
        <w:rPr>
          <w:rFonts w:cs="Arial" w:ascii="Verdana" w:hAnsi="Verdana"/>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rFonts w:ascii="Verdana" w:hAnsi="Verdana"/>
        </w:rPr>
      </w:pPr>
      <w:r>
        <w:rPr>
          <w:rFonts w:cs="Arial" w:ascii="Verdana" w:hAnsi="Verdana"/>
          <w:color w:val="000000"/>
          <w:sz w:val="20"/>
          <w:szCs w:val="20"/>
        </w:rPr>
        <w:t xml:space="preserve">7.25 Só poderá haver empate entre propostas iguais (não seguidas de lances), ou entre lances finais da fase fechada do modo de disputa aberto e fechado. </w:t>
      </w:r>
    </w:p>
    <w:p>
      <w:pPr>
        <w:pStyle w:val="Normal"/>
        <w:spacing w:lineRule="auto" w:line="240" w:before="57" w:after="57"/>
        <w:jc w:val="both"/>
        <w:rPr>
          <w:rFonts w:ascii="Verdana" w:hAnsi="Verdana"/>
        </w:rPr>
      </w:pPr>
      <w:r>
        <w:rPr>
          <w:rFonts w:cs="Arial" w:ascii="Verdana" w:hAnsi="Verdana"/>
          <w:color w:val="000000"/>
          <w:sz w:val="20"/>
          <w:szCs w:val="20"/>
        </w:rPr>
        <w:t>7.26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rFonts w:ascii="Verdana" w:hAnsi="Verdana"/>
        </w:rPr>
      </w:pPr>
      <w:r>
        <w:rPr>
          <w:rFonts w:cs="Arial" w:ascii="Verdana" w:hAnsi="Verdana"/>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rFonts w:ascii="Verdana" w:hAnsi="Verdana"/>
        </w:rPr>
      </w:pPr>
      <w:r>
        <w:rPr>
          <w:rFonts w:cs="Arial" w:ascii="Verdana" w:hAnsi="Verdana"/>
          <w:color w:val="000000"/>
          <w:sz w:val="20"/>
          <w:szCs w:val="20"/>
          <w:lang w:eastAsia="en-US"/>
        </w:rPr>
        <w:t>7.26.2 No país;</w:t>
      </w:r>
    </w:p>
    <w:p>
      <w:pPr>
        <w:pStyle w:val="Normal"/>
        <w:spacing w:lineRule="auto" w:line="240" w:before="57" w:after="57"/>
        <w:jc w:val="both"/>
        <w:rPr>
          <w:rFonts w:ascii="Verdana" w:hAnsi="Verdana"/>
        </w:rPr>
      </w:pPr>
      <w:r>
        <w:rPr>
          <w:rFonts w:cs="Arial" w:ascii="Verdana" w:hAnsi="Verdana"/>
          <w:color w:val="000000"/>
          <w:sz w:val="20"/>
          <w:szCs w:val="20"/>
          <w:lang w:eastAsia="en-US"/>
        </w:rPr>
        <w:t>7.26.3 Por empresas brasileiras;</w:t>
      </w:r>
    </w:p>
    <w:p>
      <w:pPr>
        <w:pStyle w:val="Normal"/>
        <w:spacing w:lineRule="auto" w:line="240" w:before="57" w:after="57"/>
        <w:jc w:val="both"/>
        <w:rPr>
          <w:rFonts w:ascii="Verdana" w:hAnsi="Verdana"/>
        </w:rPr>
      </w:pPr>
      <w:r>
        <w:rPr>
          <w:rFonts w:cs="Arial" w:ascii="Verdana" w:hAnsi="Verdana"/>
          <w:color w:val="000000"/>
          <w:sz w:val="20"/>
          <w:szCs w:val="20"/>
          <w:lang w:eastAsia="en-US"/>
        </w:rPr>
        <w:t>7.26.4 Por empresas que invistam em pesquisa e no desenvolvimento de tecnologia no País;</w:t>
      </w:r>
    </w:p>
    <w:p>
      <w:pPr>
        <w:pStyle w:val="Normal"/>
        <w:spacing w:lineRule="auto" w:line="240" w:before="57" w:after="57"/>
        <w:jc w:val="both"/>
        <w:rPr>
          <w:rFonts w:ascii="Verdana" w:hAnsi="Verdana"/>
        </w:rPr>
      </w:pPr>
      <w:r>
        <w:rPr>
          <w:rFonts w:cs="Arial" w:ascii="Verdana" w:hAnsi="Verdana"/>
          <w:color w:val="000000"/>
          <w:sz w:val="20"/>
          <w:szCs w:val="20"/>
          <w:lang w:eastAsia="en-US"/>
        </w:rPr>
        <w:t>7.26.5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240" w:before="57" w:after="57"/>
        <w:jc w:val="both"/>
        <w:rPr>
          <w:rFonts w:ascii="Verdana" w:hAnsi="Verdana"/>
        </w:rPr>
      </w:pPr>
      <w:r>
        <w:rPr>
          <w:rFonts w:cs="Arial" w:ascii="Verdana" w:hAnsi="Verdana"/>
          <w:color w:val="000000"/>
          <w:sz w:val="20"/>
          <w:szCs w:val="20"/>
          <w:lang w:eastAsia="en-US"/>
        </w:rPr>
        <w:t xml:space="preserve">7.27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rFonts w:ascii="Verdana" w:hAnsi="Verdana"/>
        </w:rPr>
      </w:pPr>
      <w:r>
        <w:rPr>
          <w:rFonts w:cs="Arial" w:ascii="Verdana" w:hAnsi="Verdana"/>
          <w:color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7.28.1 A negociação será realizada por meio do sistema, podendo ser acompanhada pelos demais licitantes.</w:t>
      </w:r>
    </w:p>
    <w:p>
      <w:pPr>
        <w:pStyle w:val="ListParagraph"/>
        <w:tabs>
          <w:tab w:val="clear" w:pos="720"/>
          <w:tab w:val="left" w:pos="-12" w:leader="none"/>
        </w:tabs>
        <w:spacing w:lineRule="auto" w:line="240" w:before="0" w:after="0"/>
        <w:ind w:left="0"/>
        <w:contextualSpacing w:val="false"/>
        <w:jc w:val="both"/>
        <w:rPr>
          <w:rFonts w:ascii="Verdana" w:hAnsi="Verdana"/>
        </w:rPr>
      </w:pPr>
      <w:r>
        <w:rPr>
          <w:rFonts w:cs="Arial" w:ascii="Verdana" w:hAnsi="Verdana"/>
          <w:color w:val="000000"/>
          <w:sz w:val="20"/>
          <w:szCs w:val="20"/>
        </w:rPr>
        <w:t>7.28.2 O pregoeiro solicitará ao licitante melhor classificado que, no prazo de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40" w:before="0" w:after="0"/>
        <w:ind w:left="0"/>
        <w:contextualSpacing w:val="false"/>
        <w:jc w:val="both"/>
        <w:rPr>
          <w:rFonts w:ascii="Verdana" w:hAnsi="Verdana"/>
        </w:rPr>
      </w:pPr>
      <w:r>
        <w:rPr>
          <w:rFonts w:cs="Arial" w:ascii="Verdana" w:hAnsi="Verdana"/>
          <w:color w:val="000000"/>
          <w:sz w:val="20"/>
          <w:szCs w:val="20"/>
        </w:rPr>
        <w:t>7.29 Após a negociação do preço, o Pregoeiro iniciará a fase de aceitação e julgamento da proposta.</w:t>
      </w:r>
    </w:p>
    <w:p>
      <w:pPr>
        <w:pStyle w:val="ListParagraph"/>
        <w:tabs>
          <w:tab w:val="clear" w:pos="720"/>
          <w:tab w:val="left" w:pos="-12" w:leader="none"/>
        </w:tabs>
        <w:spacing w:lineRule="auto" w:line="240"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lineRule="auto" w:line="240" w:before="0" w:after="0"/>
        <w:ind w:hanging="0" w:left="0"/>
        <w:rPr>
          <w:rFonts w:ascii="Verdana" w:hAnsi="Verdana"/>
        </w:rPr>
      </w:pPr>
      <w:r>
        <w:rPr>
          <w:rFonts w:cs="Arial" w:ascii="Verdana" w:hAnsi="Verdana"/>
          <w:sz w:val="20"/>
          <w:szCs w:val="20"/>
          <w:lang w:eastAsia="en-US"/>
        </w:rPr>
        <w:t>DA ACEITABILIDADE DA PROPOSTA VENCEDORA.</w:t>
      </w:r>
    </w:p>
    <w:p>
      <w:pPr>
        <w:pStyle w:val="ListParagraph"/>
        <w:numPr>
          <w:ilvl w:val="1"/>
          <w:numId w:val="2"/>
        </w:numPr>
        <w:tabs>
          <w:tab w:val="clear" w:pos="720"/>
          <w:tab w:val="left" w:pos="517" w:leader="none"/>
        </w:tabs>
        <w:spacing w:lineRule="auto" w:line="240" w:before="0" w:after="0"/>
        <w:ind w:hanging="0" w:left="0"/>
        <w:contextualSpacing w:val="false"/>
        <w:jc w:val="both"/>
        <w:rPr>
          <w:rFonts w:ascii="Verdana" w:hAnsi="Verdana"/>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Style6"/>
          <w:rFonts w:cs="Arial" w:ascii="Verdana" w:hAnsi="Verdana"/>
          <w:color w:val="000080"/>
          <w:sz w:val="20"/>
          <w:szCs w:val="20"/>
          <w:u w:val="single"/>
        </w:rPr>
        <w:instrText xml:space="preserve"> HYPERLINK "https://www.gov.br/compras/pt-br/acesso-a-informacao/legislacao/instrucoes-normativas/instrucao-normativa-seges-me-no-73-de-30-de-setembro-de-2022" \l "art29"</w:instrText>
      </w:r>
      <w:r>
        <w:rPr>
          <w:rStyle w:val="Style6"/>
          <w:rFonts w:cs="Arial" w:ascii="Verdana" w:hAnsi="Verdana"/>
          <w:color w:val="000080"/>
          <w:sz w:val="20"/>
          <w:szCs w:val="20"/>
          <w:u w:val="single"/>
        </w:rPr>
        <w:fldChar w:fldCharType="separate"/>
      </w:r>
      <w:r>
        <w:rPr>
          <w:rStyle w:val="Style6"/>
          <w:rFonts w:cs="Arial" w:ascii="Verdana" w:hAnsi="Verdana"/>
          <w:color w:val="000080"/>
          <w:sz w:val="20"/>
          <w:szCs w:val="20"/>
          <w:u w:val="single"/>
        </w:rPr>
        <w:t>artigo 29 a 35 da IN SEGES nº 73, de 30 de setembro de 2022</w:t>
      </w:r>
      <w:r>
        <w:rPr>
          <w:rStyle w:val="Style6"/>
          <w:rFonts w:cs="Arial" w:ascii="Verdana" w:hAnsi="Verdana"/>
          <w:color w:val="000080"/>
          <w:sz w:val="20"/>
          <w:szCs w:val="20"/>
          <w:u w:val="single"/>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8.6.1 não estiver em conformidade com os requisitos estabelecidos neste edital;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8.6.2 contenha vício insanável ou ilegalidade;</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8.6.3 não apresente as especificações técnicas exigidas pelo Termo de Referência;</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8.6.4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8.6.4.1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8.6.4.1.1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8.6.4.1.2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8.6.4.2 A fim de assegurar o tratamento isonômico entre as licitantes, informa-se que foram utilizadas as seguintes convenções coletivas de trabalho no cálculo do valor estimado pela Administração. </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É vedado à proponente incluir na Planilha de Custos e Formação de Preços:</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8.7.1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8.7.2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8.7.3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8.7.4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 xml:space="preserve">8.7.5 rubrica para pagamento do Imposto de Renda Pessoa Jurídica – IRPJ e da Contribuição Social Sobre o Lucro Líquido – CSLL; </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8.7.6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40" w:before="57" w:after="57"/>
        <w:jc w:val="both"/>
        <w:rPr>
          <w:rFonts w:ascii="Verdana" w:hAnsi="Verdana"/>
        </w:rPr>
      </w:pPr>
      <w:r>
        <w:rPr>
          <w:rFonts w:ascii="Verdana" w:hAnsi="Verdana"/>
          <w:sz w:val="20"/>
          <w:szCs w:val="20"/>
        </w:rPr>
        <w:t>8.8.1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40" w:before="57" w:after="57"/>
        <w:ind w:hanging="0" w:left="0"/>
        <w:jc w:val="both"/>
        <w:rPr>
          <w:rFonts w:ascii="Verdana" w:hAnsi="Verdana"/>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40" w:before="57" w:after="57"/>
        <w:jc w:val="both"/>
        <w:rPr/>
      </w:pPr>
      <w:r>
        <w:rPr>
          <w:rFonts w:ascii="Verdana" w:hAnsi="Verdana"/>
          <w:sz w:val="20"/>
          <w:szCs w:val="20"/>
        </w:rPr>
        <w:t xml:space="preserve">8.11.1 As propostas com preços próximos ou inferiores ao mínimo estabelecido pela Prefeitura Municipal de São Gabriel da Palha, disponibilizado em meio eletrônico, no </w:t>
      </w:r>
      <w:r>
        <w:rPr>
          <w:rFonts w:cs="Arial" w:ascii="Verdana" w:hAnsi="Verdana"/>
          <w:color w:val="000000"/>
          <w:sz w:val="20"/>
          <w:szCs w:val="20"/>
        </w:rPr>
        <w:t xml:space="preserve">Portal de Compras Públicas – </w:t>
      </w:r>
      <w:hyperlink r:id="rId3">
        <w:bookmarkStart w:id="10" w:name="_Hlk123138684_Copia_2"/>
        <w:r>
          <w:rPr>
            <w:rStyle w:val="Style6"/>
            <w:rFonts w:cs="Arial" w:ascii="Verdana" w:hAnsi="Verdana"/>
            <w:b/>
            <w:bCs/>
            <w:color w:val="0563C1"/>
            <w:sz w:val="20"/>
            <w:szCs w:val="20"/>
            <w:u w:val="single"/>
          </w:rPr>
          <w:t>www.portaldecompraspublicas.com.br</w:t>
        </w:r>
      </w:hyperlink>
      <w:bookmarkEnd w:id="10"/>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40" w:before="57" w:after="57"/>
        <w:ind w:left="0"/>
        <w:contextualSpacing w:val="false"/>
        <w:jc w:val="both"/>
        <w:rPr>
          <w:rFonts w:ascii="Verdana" w:hAnsi="Verdana"/>
        </w:rPr>
      </w:pPr>
      <w:r>
        <w:rPr>
          <w:rFonts w:cs="Arial" w:ascii="Verdana" w:hAnsi="Verdana"/>
          <w:color w:val="000000"/>
          <w:sz w:val="20"/>
          <w:szCs w:val="20"/>
          <w:lang w:eastAsia="en-US"/>
        </w:rPr>
        <w:t>8.12.1.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40" w:before="57" w:after="57"/>
        <w:ind w:left="0"/>
        <w:contextualSpacing w:val="false"/>
        <w:jc w:val="both"/>
        <w:rPr>
          <w:rFonts w:ascii="Verdana" w:hAnsi="Verdana"/>
        </w:rPr>
      </w:pPr>
      <w:r>
        <w:rPr>
          <w:rFonts w:cs="Arial" w:ascii="Verdana" w:hAnsi="Verdana"/>
          <w:color w:val="000000"/>
          <w:sz w:val="20"/>
          <w:szCs w:val="20"/>
          <w:lang w:eastAsia="en-US"/>
        </w:rPr>
        <w:t>8.13.1 É facultado ao pregoeiro prorrogar o prazo estabelecido, a partir de solicitação fundamentada feita no chat pelo licitante, antes de findo o prazo.</w:t>
      </w:r>
    </w:p>
    <w:p>
      <w:pPr>
        <w:pStyle w:val="ListParagraph"/>
        <w:spacing w:lineRule="auto" w:line="240" w:before="57" w:after="57"/>
        <w:ind w:left="0"/>
        <w:contextualSpacing w:val="false"/>
        <w:jc w:val="both"/>
        <w:rPr>
          <w:rFonts w:ascii="Verdana" w:hAnsi="Verdana"/>
        </w:rPr>
      </w:pPr>
      <w:r>
        <w:rPr>
          <w:rFonts w:cs="Arial" w:ascii="Verdana" w:hAnsi="Verdana"/>
          <w:sz w:val="20"/>
          <w:szCs w:val="20"/>
          <w:lang w:eastAsia="en-US"/>
        </w:rPr>
        <w:t>8.13.2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40" w:before="57" w:after="57"/>
        <w:ind w:hanging="0" w:left="0"/>
        <w:contextualSpacing w:val="false"/>
        <w:jc w:val="both"/>
        <w:rPr>
          <w:rFonts w:ascii="Verdana" w:hAnsi="Verdana"/>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jc w:val="both"/>
        <w:rPr>
          <w:rFonts w:ascii="Verdana" w:hAnsi="Verdana"/>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jc w:val="both"/>
        <w:rPr>
          <w:rFonts w:ascii="Verdana" w:hAnsi="Verdana"/>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0" w:after="0"/>
        <w:ind w:hanging="0" w:left="0"/>
        <w:jc w:val="both"/>
        <w:rPr>
          <w:rFonts w:ascii="Verdana" w:hAnsi="Verdana"/>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0" w:after="0"/>
        <w:ind w:hanging="0" w:left="0"/>
        <w:jc w:val="both"/>
        <w:rPr>
          <w:rFonts w:ascii="Verdana" w:hAnsi="Verdana"/>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0" w:after="0"/>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40" w:before="57" w:after="57"/>
        <w:ind w:hanging="0" w:left="0"/>
        <w:rPr>
          <w:rFonts w:ascii="Verdana" w:hAnsi="Verdana"/>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contextualSpacing w:val="false"/>
        <w:jc w:val="both"/>
        <w:rPr>
          <w:rFonts w:ascii="Verdana" w:hAnsi="Verdana"/>
        </w:rPr>
      </w:pPr>
      <w:r>
        <w:rPr>
          <w:rFonts w:cs="Arial" w:ascii="Verdana" w:hAnsi="Verdana"/>
          <w:sz w:val="20"/>
          <w:szCs w:val="20"/>
          <w:lang w:eastAsia="ar-SA"/>
        </w:rPr>
        <w:t>a) SICAF;</w:t>
      </w:r>
    </w:p>
    <w:p>
      <w:pPr>
        <w:pStyle w:val="ListParagraph"/>
        <w:spacing w:lineRule="auto" w:line="240"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Style6"/>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Style6"/>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left="0"/>
        <w:contextualSpacing w:val="false"/>
        <w:jc w:val="both"/>
        <w:rPr>
          <w:rFonts w:ascii="Verdana" w:hAnsi="Verdana"/>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Style6"/>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Style6"/>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rFonts w:ascii="Verdana" w:hAnsi="Verdana"/>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40" w:before="57" w:after="57"/>
        <w:ind w:left="0"/>
        <w:contextualSpacing w:val="false"/>
        <w:jc w:val="both"/>
        <w:rPr>
          <w:rFonts w:ascii="Verdana" w:hAnsi="Verdana"/>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left="0"/>
        <w:contextualSpacing w:val="false"/>
        <w:jc w:val="both"/>
        <w:rPr>
          <w:rFonts w:ascii="Verdana" w:hAnsi="Verdana"/>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left="0"/>
        <w:contextualSpacing w:val="false"/>
        <w:jc w:val="both"/>
        <w:rPr>
          <w:rFonts w:ascii="Verdana" w:hAnsi="Verdana"/>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40" w:before="57" w:after="57"/>
        <w:ind w:hanging="0" w:left="0"/>
        <w:contextualSpacing w:val="false"/>
        <w:jc w:val="both"/>
        <w:rPr>
          <w:rFonts w:ascii="Verdana" w:hAnsi="Verdana"/>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240" w:before="57" w:after="57"/>
        <w:ind w:hanging="0" w:left="0"/>
        <w:rPr>
          <w:rFonts w:ascii="Verdana" w:hAnsi="Verdana"/>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240" w:before="57" w:after="57"/>
        <w:ind w:hanging="0" w:left="0"/>
        <w:rPr>
          <w:rFonts w:ascii="Verdana" w:hAnsi="Verdana"/>
        </w:rPr>
      </w:pPr>
      <w:r>
        <w:rPr>
          <w:rFonts w:cs="Arial" w:ascii="Verdana" w:hAnsi="Verdana"/>
          <w:sz w:val="20"/>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240" w:before="57" w:after="57"/>
        <w:ind w:hanging="0" w:left="0"/>
        <w:rPr>
          <w:rFonts w:ascii="Verdana" w:hAnsi="Verdana"/>
        </w:rPr>
      </w:pPr>
      <w:r>
        <w:rPr>
          <w:rFonts w:cs="Arial" w:ascii="Verdana" w:hAnsi="Verdana"/>
          <w:sz w:val="20"/>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240" w:before="57" w:after="57"/>
        <w:ind w:hanging="0" w:left="0"/>
        <w:rPr>
          <w:rFonts w:ascii="Verdana" w:hAnsi="Verdana"/>
        </w:rPr>
      </w:pPr>
      <w:r>
        <w:rPr>
          <w:rFonts w:cs="Arial" w:ascii="Verdana" w:hAnsi="Verdana"/>
          <w:sz w:val="20"/>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240" w:before="57" w:after="57"/>
        <w:ind w:hanging="0" w:left="0"/>
        <w:rPr>
          <w:rFonts w:ascii="Verdana" w:hAnsi="Verdana"/>
        </w:rPr>
      </w:pPr>
      <w:r>
        <w:rPr>
          <w:rFonts w:cs="Arial" w:ascii="Verdana" w:hAnsi="Verdana"/>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Style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rFonts w:ascii="Verdana" w:hAnsi="Verdana"/>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rFonts w:ascii="Verdana" w:hAnsi="Verdana"/>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numPr>
          <w:ilvl w:val="0"/>
          <w:numId w:val="0"/>
        </w:numPr>
        <w:spacing w:lineRule="auto" w:line="240"/>
        <w:ind w:hanging="0" w:left="0"/>
        <w:jc w:val="both"/>
        <w:rPr>
          <w:rFonts w:ascii="Verdana" w:hAnsi="Verdana"/>
          <w:sz w:val="20"/>
          <w:szCs w:val="20"/>
        </w:rPr>
      </w:pPr>
      <w:r>
        <w:rPr>
          <w:rFonts w:ascii="Verdana" w:hAnsi="Verdana"/>
          <w:b w:val="false"/>
          <w:bCs w:val="false"/>
          <w:sz w:val="20"/>
          <w:szCs w:val="20"/>
        </w:rPr>
        <w:t xml:space="preserve">9.11.1 Comprovação de aptidão para desempenho de atividade pertinente e compatível com o objeto desta licitação, mediante apresentação de </w:t>
      </w:r>
      <w:r>
        <w:rPr>
          <w:rFonts w:ascii="Verdana" w:hAnsi="Verdana"/>
          <w:b w:val="false"/>
          <w:bCs w:val="false"/>
          <w:sz w:val="20"/>
          <w:szCs w:val="20"/>
          <w:highlight w:val="white"/>
        </w:rPr>
        <w:t>documentos que atestem capacidade técnica, tais como Documentos de Habilitação Fiscal, Social e Trabalhista, regularidade com relação a impostos, contribuições sociais e obrigações trabalhistas.</w:t>
      </w:r>
    </w:p>
    <w:p>
      <w:pPr>
        <w:pStyle w:val="Normal"/>
        <w:numPr>
          <w:ilvl w:val="0"/>
          <w:numId w:val="0"/>
        </w:numPr>
        <w:spacing w:lineRule="auto" w:line="240"/>
        <w:ind w:hanging="0" w:left="0"/>
        <w:jc w:val="both"/>
        <w:rPr>
          <w:rFonts w:ascii="Verdana" w:hAnsi="Verdana"/>
          <w:sz w:val="20"/>
          <w:szCs w:val="20"/>
        </w:rPr>
      </w:pPr>
      <w:r>
        <w:rPr>
          <w:rFonts w:ascii="Verdana" w:hAnsi="Verdana"/>
          <w:b/>
          <w:bCs/>
          <w:sz w:val="20"/>
          <w:szCs w:val="20"/>
        </w:rPr>
        <w:t>9.11.2 Acerca do Atestados de Capacidade Técnica</w:t>
      </w:r>
      <w:r>
        <w:rPr>
          <w:rFonts w:ascii="Verdana" w:hAnsi="Verdana"/>
          <w:sz w:val="20"/>
          <w:szCs w:val="20"/>
        </w:rPr>
        <w:t xml:space="preserve">: Solicita-se comprovação de que a empresa já forneceu alimentação coletiva ou escolar similares em quantidade e complexidade compatíveis, devido a necessidade de que os alimentos sejam entregues corretamente conforme as especificações, facilitando assim a distribuição conforme cronogramas de entregas. Um exemplo é a especificação das carnes, principalmente do item </w:t>
      </w:r>
      <w:r>
        <w:rPr>
          <w:rFonts w:ascii="Verdana" w:hAnsi="Verdana"/>
          <w:sz w:val="20"/>
          <w:szCs w:val="20"/>
          <w:u w:val="single"/>
        </w:rPr>
        <w:t>carne bovina moída – acém bovino moído</w:t>
      </w:r>
      <w:r>
        <w:rPr>
          <w:rFonts w:ascii="Verdana" w:hAnsi="Verdana"/>
          <w:sz w:val="20"/>
          <w:szCs w:val="20"/>
        </w:rPr>
        <w:t>, que deve ser entregue em pacotes de 1Kg, para que não seja necessário o manuseio de descongelamento de peças maiores. Para maior segurança alimentar as entregas fracionadas (como pacotes de 1kg) evita o descongelamento e porcionamento inadequado na escola em conformidade com o cardápio nutricional escolar, reduzindo o risco de contaminação cruzada e ainda embalagens prontas otimizam o tempo das merendeiras e evitam o desperdício de alimentos.</w:t>
      </w:r>
    </w:p>
    <w:p>
      <w:pPr>
        <w:pStyle w:val="Normal"/>
        <w:numPr>
          <w:ilvl w:val="0"/>
          <w:numId w:val="0"/>
        </w:numPr>
        <w:spacing w:lineRule="auto" w:line="240"/>
        <w:ind w:hanging="0" w:left="0"/>
        <w:jc w:val="both"/>
        <w:rPr>
          <w:rFonts w:ascii="Verdana" w:hAnsi="Verdana"/>
          <w:sz w:val="20"/>
          <w:szCs w:val="20"/>
        </w:rPr>
      </w:pPr>
      <w:r>
        <w:rPr>
          <w:rFonts w:ascii="Verdana" w:hAnsi="Verdana"/>
          <w:b/>
          <w:sz w:val="20"/>
          <w:szCs w:val="20"/>
        </w:rPr>
        <w:t xml:space="preserve">9.11.3 </w:t>
      </w:r>
      <w:r>
        <w:rPr>
          <w:rFonts w:ascii="Verdana" w:hAnsi="Verdana"/>
          <w:sz w:val="20"/>
          <w:szCs w:val="20"/>
        </w:rPr>
        <w:t>Para alimentos perecíveis ou congelados, exige-se certificação de que a frota possui climatização/refrigeração adequada para manter a cadeia de frio.</w:t>
      </w:r>
    </w:p>
    <w:p>
      <w:pPr>
        <w:pStyle w:val="Normal"/>
        <w:numPr>
          <w:ilvl w:val="0"/>
          <w:numId w:val="0"/>
        </w:numPr>
        <w:spacing w:lineRule="auto" w:line="240"/>
        <w:ind w:hanging="0" w:left="0"/>
        <w:jc w:val="both"/>
        <w:rPr>
          <w:rFonts w:ascii="Verdana" w:hAnsi="Verdana"/>
          <w:sz w:val="20"/>
          <w:szCs w:val="20"/>
        </w:rPr>
      </w:pPr>
      <w:r>
        <w:rPr>
          <w:rFonts w:cs="Arial" w:ascii="Verdana" w:hAnsi="Verdana"/>
          <w:b/>
          <w:bCs/>
          <w:color w:val="000000"/>
          <w:sz w:val="20"/>
          <w:szCs w:val="20"/>
          <w:highlight w:val="white"/>
        </w:rPr>
        <w:t xml:space="preserve">9.11.4 </w:t>
      </w:r>
      <w:r>
        <w:rPr>
          <w:rFonts w:cs="Arial" w:ascii="Verdana" w:hAnsi="Verdana"/>
          <w:b w:val="false"/>
          <w:bCs w:val="false"/>
          <w:color w:val="000000"/>
          <w:sz w:val="20"/>
          <w:szCs w:val="20"/>
          <w:highlight w:val="white"/>
        </w:rPr>
        <w:t>Deverá ser observada na descrição dos itens e</w:t>
      </w:r>
      <w:r>
        <w:rPr>
          <w:rFonts w:cs="Arial" w:ascii="Verdana" w:hAnsi="Verdana"/>
          <w:b/>
          <w:bCs/>
          <w:color w:val="000000"/>
          <w:sz w:val="20"/>
          <w:szCs w:val="20"/>
          <w:highlight w:val="white"/>
        </w:rPr>
        <w:t xml:space="preserve"> </w:t>
      </w:r>
      <w:r>
        <w:rPr>
          <w:rFonts w:cs="Arial" w:ascii="Verdana" w:hAnsi="Verdana"/>
          <w:b w:val="false"/>
          <w:bCs w:val="false"/>
          <w:color w:val="000000"/>
          <w:sz w:val="20"/>
          <w:szCs w:val="20"/>
          <w:highlight w:val="white"/>
        </w:rPr>
        <w:t xml:space="preserve">obrigatório o fornecimento dos produtos de origem animal (selos SIF, SIE ou SIM) ou vegetal regulamentados. </w:t>
      </w:r>
      <w:r>
        <w:rPr>
          <w:rFonts w:cs="Arial" w:ascii="Verdana" w:hAnsi="Verdana"/>
          <w:b/>
          <w:bCs/>
          <w:color w:val="000000"/>
          <w:sz w:val="20"/>
          <w:szCs w:val="20"/>
          <w:highlight w:val="white"/>
        </w:rPr>
        <w:t>Selo de Inspeção:</w:t>
      </w:r>
      <w:r>
        <w:rPr>
          <w:rFonts w:cs="Arial" w:ascii="Verdana" w:hAnsi="Verdana"/>
          <w:b w:val="false"/>
          <w:bCs w:val="false"/>
          <w:color w:val="000000"/>
          <w:sz w:val="20"/>
          <w:szCs w:val="20"/>
          <w:highlight w:val="white"/>
        </w:rPr>
        <w:t xml:space="preserve"> Certificado de Registro no Serviço de Inspeção Federal (</w:t>
      </w:r>
      <w:r>
        <w:rPr>
          <w:rFonts w:cs="Arial" w:ascii="Verdana" w:hAnsi="Verdana"/>
          <w:b/>
          <w:bCs/>
          <w:color w:val="000000"/>
          <w:sz w:val="20"/>
          <w:szCs w:val="20"/>
          <w:highlight w:val="white"/>
        </w:rPr>
        <w:t>SIF</w:t>
      </w:r>
      <w:r>
        <w:rPr>
          <w:rFonts w:cs="Arial" w:ascii="Verdana" w:hAnsi="Verdana"/>
          <w:b w:val="false"/>
          <w:bCs w:val="false"/>
          <w:color w:val="000000"/>
          <w:sz w:val="20"/>
          <w:szCs w:val="20"/>
          <w:highlight w:val="white"/>
        </w:rPr>
        <w:t>), Estadual (</w:t>
      </w:r>
      <w:r>
        <w:rPr>
          <w:rFonts w:cs="Arial" w:ascii="Verdana" w:hAnsi="Verdana"/>
          <w:b/>
          <w:bCs/>
          <w:color w:val="000000"/>
          <w:sz w:val="20"/>
          <w:szCs w:val="20"/>
          <w:highlight w:val="white"/>
        </w:rPr>
        <w:t>SIE</w:t>
      </w:r>
      <w:r>
        <w:rPr>
          <w:rFonts w:cs="Arial" w:ascii="Verdana" w:hAnsi="Verdana"/>
          <w:b w:val="false"/>
          <w:bCs w:val="false"/>
          <w:color w:val="000000"/>
          <w:sz w:val="20"/>
          <w:szCs w:val="20"/>
          <w:highlight w:val="white"/>
        </w:rPr>
        <w:t>) ou Municipal (</w:t>
      </w:r>
      <w:r>
        <w:rPr>
          <w:rFonts w:cs="Arial" w:ascii="Verdana" w:hAnsi="Verdana"/>
          <w:b/>
          <w:bCs/>
          <w:color w:val="000000"/>
          <w:sz w:val="20"/>
          <w:szCs w:val="20"/>
          <w:highlight w:val="white"/>
        </w:rPr>
        <w:t>SIM</w:t>
      </w:r>
      <w:r>
        <w:rPr>
          <w:rFonts w:cs="Arial" w:ascii="Verdana" w:hAnsi="Verdana"/>
          <w:b w:val="false"/>
          <w:bCs w:val="false"/>
          <w:color w:val="000000"/>
          <w:sz w:val="20"/>
          <w:szCs w:val="20"/>
          <w:highlight w:val="white"/>
        </w:rPr>
        <w:t xml:space="preserve">), ou o selo </w:t>
      </w:r>
      <w:r>
        <w:rPr>
          <w:rFonts w:cs="Arial" w:ascii="Verdana" w:hAnsi="Verdana"/>
          <w:b/>
          <w:bCs/>
          <w:color w:val="000000"/>
          <w:sz w:val="20"/>
          <w:szCs w:val="20"/>
          <w:highlight w:val="white"/>
        </w:rPr>
        <w:t>SISBI</w:t>
      </w:r>
      <w:r>
        <w:rPr>
          <w:rFonts w:cs="Arial" w:ascii="Verdana" w:hAnsi="Verdana"/>
          <w:b w:val="false"/>
          <w:bCs w:val="false"/>
          <w:color w:val="000000"/>
          <w:sz w:val="20"/>
          <w:szCs w:val="20"/>
          <w:highlight w:val="white"/>
        </w:rPr>
        <w:t xml:space="preserve"> (Sistema Brasileiro de Inspeção de Produtos de Origem Animal).</w:t>
      </w:r>
    </w:p>
    <w:p>
      <w:pPr>
        <w:pStyle w:val="Normal"/>
        <w:spacing w:lineRule="auto" w:line="240" w:before="57" w:after="57"/>
        <w:jc w:val="both"/>
        <w:rPr>
          <w:rFonts w:ascii="Verdana" w:hAnsi="Verdana"/>
        </w:rPr>
      </w:pPr>
      <w:r>
        <w:rPr>
          <w:rFonts w:ascii="Verdana" w:hAnsi="Verdana"/>
          <w:b/>
          <w:bCs/>
          <w:sz w:val="20"/>
          <w:szCs w:val="20"/>
        </w:rPr>
        <w:t>9.12 DAS AMOSTRAS</w:t>
      </w:r>
    </w:p>
    <w:p>
      <w:pPr>
        <w:pStyle w:val="Normal"/>
        <w:spacing w:lineRule="auto" w:line="240" w:before="57" w:after="57"/>
        <w:jc w:val="both"/>
        <w:rPr>
          <w:rFonts w:ascii="Verdana" w:hAnsi="Verdana"/>
        </w:rPr>
      </w:pPr>
      <w:r>
        <w:rPr>
          <w:rFonts w:cs="Arial" w:ascii="Verdana" w:hAnsi="Verdana"/>
          <w:sz w:val="20"/>
          <w:szCs w:val="20"/>
        </w:rPr>
        <w:t>9.12.1</w:t>
      </w:r>
      <w:r>
        <w:rPr>
          <w:rFonts w:cs="Arial" w:ascii="Verdana" w:hAnsi="Verdana"/>
          <w:b/>
          <w:sz w:val="20"/>
          <w:szCs w:val="20"/>
        </w:rPr>
        <w:t xml:space="preserve"> </w:t>
      </w:r>
      <w:r>
        <w:rPr>
          <w:rFonts w:cs="Arial" w:ascii="Verdana" w:hAnsi="Verdana"/>
          <w:sz w:val="20"/>
          <w:szCs w:val="20"/>
        </w:rPr>
        <w:t xml:space="preserve">As amostras deverão ser apresentadas em no Máximo 2 (dois) dias úteis após </w:t>
      </w:r>
      <w:r>
        <w:rPr>
          <w:rFonts w:eastAsia="Times New Roman" w:cs="Arial" w:ascii="Verdana" w:hAnsi="Verdana"/>
          <w:sz w:val="20"/>
          <w:szCs w:val="20"/>
        </w:rPr>
        <w:t>o certame licitatório</w:t>
      </w:r>
      <w:r>
        <w:rPr>
          <w:rFonts w:cs="Arial" w:ascii="Verdana" w:hAnsi="Verdana"/>
          <w:sz w:val="20"/>
          <w:szCs w:val="20"/>
        </w:rPr>
        <w:t>, podendo o prazo ser prorrogado ou a entrega ser dispensada, a pedido da contratante, desde que através de solicitação devidamente justificada e aceita;</w:t>
      </w:r>
    </w:p>
    <w:p>
      <w:pPr>
        <w:pStyle w:val="Normal"/>
        <w:spacing w:lineRule="auto" w:line="240" w:before="57" w:after="57"/>
        <w:jc w:val="both"/>
        <w:rPr>
          <w:rFonts w:ascii="Verdana" w:hAnsi="Verdana"/>
        </w:rPr>
      </w:pPr>
      <w:r>
        <w:rPr>
          <w:rFonts w:cs="Arial" w:ascii="Verdana" w:hAnsi="Verdana"/>
          <w:sz w:val="20"/>
          <w:szCs w:val="20"/>
        </w:rPr>
        <w:t>9.12.2 Os produtos apresentados como amostras poderão ser abertos, manuseados e consumidos.</w:t>
      </w:r>
    </w:p>
    <w:p>
      <w:pPr>
        <w:pStyle w:val="Normal"/>
        <w:spacing w:lineRule="auto" w:line="240" w:before="57" w:after="57"/>
        <w:jc w:val="both"/>
        <w:rPr>
          <w:rFonts w:ascii="Verdana" w:hAnsi="Verdana"/>
        </w:rPr>
      </w:pPr>
      <w:r>
        <w:rPr>
          <w:rFonts w:cs="Arial" w:ascii="Verdana" w:hAnsi="Verdana"/>
          <w:sz w:val="20"/>
          <w:szCs w:val="20"/>
        </w:rPr>
        <w:t>9.12.3 A amostra apresentada, não será em hipótese alguma, considerada como início de entrega dos gêneros alimentícios.</w:t>
      </w:r>
    </w:p>
    <w:p>
      <w:pPr>
        <w:pStyle w:val="Normal"/>
        <w:spacing w:lineRule="auto" w:line="240" w:before="57" w:after="57"/>
        <w:jc w:val="both"/>
        <w:rPr>
          <w:rFonts w:ascii="Verdana" w:hAnsi="Verdana"/>
        </w:rPr>
      </w:pPr>
      <w:r>
        <w:rPr>
          <w:rFonts w:cs="Arial" w:ascii="Verdana" w:hAnsi="Verdana"/>
          <w:color w:val="000000"/>
          <w:sz w:val="20"/>
          <w:szCs w:val="20"/>
        </w:rPr>
        <w:t>9.12.4 As amostras serão avaliadas pela Comissão do Núcleo de Promoção da Qualidade da Alimentação Escolar, apresentado o resultado em laudo escrito.</w:t>
      </w:r>
    </w:p>
    <w:p>
      <w:pPr>
        <w:pStyle w:val="Normal"/>
        <w:spacing w:lineRule="auto" w:line="240" w:before="57" w:after="57"/>
        <w:jc w:val="both"/>
        <w:rPr>
          <w:rFonts w:ascii="Verdana" w:hAnsi="Verdana"/>
        </w:rPr>
      </w:pPr>
      <w:r>
        <w:rPr>
          <w:rFonts w:cs="Arial" w:ascii="Verdana" w:hAnsi="Verdana"/>
          <w:b/>
          <w:bCs/>
          <w:sz w:val="20"/>
          <w:szCs w:val="20"/>
        </w:rPr>
        <w:t xml:space="preserve">9.13 LOCAL DE ENTREGA </w:t>
      </w:r>
    </w:p>
    <w:p>
      <w:pPr>
        <w:pStyle w:val="Normal"/>
        <w:spacing w:lineRule="auto" w:line="240"/>
        <w:ind w:left="110"/>
        <w:jc w:val="both"/>
        <w:rPr>
          <w:rFonts w:ascii="Verdana" w:hAnsi="Verdana"/>
        </w:rPr>
      </w:pPr>
      <w:r>
        <w:rPr>
          <w:rFonts w:ascii="Verdana" w:hAnsi="Verdana"/>
          <w:sz w:val="20"/>
          <w:szCs w:val="20"/>
        </w:rPr>
        <w:t>a)Os gêneros perecíveis deverão ser apresentados no depósito do SEMAE, localizado na Rua Eli Cardoso, s/nº, Bairro Santa Cecília (Escola Irmã Adelaide Bertocchi - Polivalente), nesta cidade, acompanhado de a Nota Fiscal para avaliação da qualidade e conferência do item com a descrição solicitada no Edital de Licitação; após, serão liberados para serem entregues diretamente nas escolas conforme cronogramas de entrega;</w:t>
      </w:r>
    </w:p>
    <w:p>
      <w:pPr>
        <w:pStyle w:val="Normal"/>
        <w:spacing w:lineRule="auto" w:line="240"/>
        <w:ind w:left="110"/>
        <w:jc w:val="both"/>
        <w:rPr>
          <w:rFonts w:ascii="Verdana" w:hAnsi="Verdana"/>
        </w:rPr>
      </w:pPr>
      <w:r>
        <w:rPr>
          <w:rFonts w:ascii="Verdana" w:hAnsi="Verdana"/>
          <w:sz w:val="20"/>
          <w:szCs w:val="20"/>
        </w:rPr>
        <w:t>b) Os gêneros não perecíveis deverão ser entregues diretamente no depósito do SEMAE, localizado na Rua Eli Cardoso, s/nº, Bairro Santa Cecília - (Escola Irmã Adelaide Bertocchi - Polivalente), nesta cidade, acompanhado de a Nota Fiscal conforme cronograma de entrega.</w:t>
      </w:r>
    </w:p>
    <w:p>
      <w:pPr>
        <w:pStyle w:val="Normal"/>
        <w:spacing w:lineRule="auto" w:line="240"/>
        <w:ind w:left="110"/>
        <w:jc w:val="both"/>
        <w:rPr>
          <w:rFonts w:ascii="Verdana" w:hAnsi="Verdana"/>
        </w:rPr>
      </w:pPr>
      <w:r>
        <w:rPr>
          <w:rFonts w:ascii="Verdana" w:hAnsi="Verdana"/>
          <w:sz w:val="20"/>
          <w:szCs w:val="20"/>
        </w:rPr>
        <w:t>c)A entrega deverá ocorrer sem qualquer ônus adicional, bem como a descarga e todas as demais despesas provenientes da mesma.</w:t>
      </w:r>
    </w:p>
    <w:p>
      <w:pPr>
        <w:pStyle w:val="Normal"/>
        <w:spacing w:lineRule="auto" w:line="240"/>
        <w:ind w:left="110"/>
        <w:jc w:val="both"/>
        <w:rPr>
          <w:rFonts w:ascii="Verdana" w:hAnsi="Verdana"/>
        </w:rPr>
      </w:pPr>
      <w:r>
        <w:rPr>
          <w:rFonts w:ascii="Verdana" w:hAnsi="Verdana"/>
          <w:sz w:val="20"/>
          <w:szCs w:val="20"/>
        </w:rPr>
        <w:t>d)A Empresa vencedora garantirá a qualidade dos materiais obrigando-se a repor aquele que apresentar defeito ou for entregue em desacordo com o apresentado na proposta.</w:t>
      </w:r>
    </w:p>
    <w:p>
      <w:pPr>
        <w:pStyle w:val="Normal"/>
        <w:spacing w:lineRule="auto" w:line="240"/>
        <w:ind w:left="110"/>
        <w:jc w:val="both"/>
        <w:rPr>
          <w:rFonts w:ascii="Verdana" w:hAnsi="Verdana"/>
        </w:rPr>
      </w:pPr>
      <w:r>
        <w:rPr>
          <w:rFonts w:ascii="Verdana" w:hAnsi="Verdana"/>
          <w:sz w:val="20"/>
          <w:szCs w:val="20"/>
        </w:rPr>
        <w:t>e)Os itens deverão ser entregues dentro do horário de expediente do setor de alimentação escolar e das escolas sendo de 7h às 17h, observando feriados e pontos facultativos.</w:t>
      </w:r>
    </w:p>
    <w:p>
      <w:pPr>
        <w:pStyle w:val="Normal"/>
        <w:spacing w:lineRule="auto" w:line="240"/>
        <w:ind w:left="110"/>
        <w:jc w:val="both"/>
        <w:rPr>
          <w:rFonts w:ascii="Verdana" w:hAnsi="Verdana"/>
        </w:rPr>
      </w:pPr>
      <w:r>
        <w:rPr>
          <w:rFonts w:ascii="Verdana" w:hAnsi="Verdana"/>
          <w:sz w:val="20"/>
          <w:szCs w:val="20"/>
        </w:rPr>
        <w:t xml:space="preserve">f)A Empresa vencedora garantirá a qualidade dos itens obrigando-se a repor aquele que apresentar defeito ou for entregue em desacordo com o apresentado na proposta; </w:t>
      </w:r>
    </w:p>
    <w:p>
      <w:pPr>
        <w:pStyle w:val="Normal"/>
        <w:spacing w:lineRule="auto" w:line="240"/>
        <w:ind w:left="110"/>
        <w:jc w:val="both"/>
        <w:rPr>
          <w:rFonts w:ascii="Verdana" w:hAnsi="Verdana"/>
        </w:rPr>
      </w:pPr>
      <w:r>
        <w:rPr>
          <w:rFonts w:ascii="Verdana" w:hAnsi="Verdana"/>
          <w:sz w:val="20"/>
          <w:szCs w:val="20"/>
        </w:rPr>
        <w:t>g)O material deverá ser entregue nas mesmas marcas indicadas nas propostas de preços vencedoras do certame e especificações constantes nas solicitações de compras.</w:t>
      </w:r>
    </w:p>
    <w:p>
      <w:pPr>
        <w:pStyle w:val="Normal"/>
        <w:spacing w:lineRule="auto" w:line="240"/>
        <w:ind w:left="110"/>
        <w:jc w:val="both"/>
        <w:rPr>
          <w:rFonts w:ascii="Verdana" w:hAnsi="Verdana"/>
        </w:rPr>
      </w:pPr>
      <w:r>
        <w:rPr>
          <w:rFonts w:ascii="Verdana" w:hAnsi="Verdana"/>
          <w:sz w:val="20"/>
          <w:szCs w:val="20"/>
        </w:rPr>
        <w:t>h)O recebimento provisório do material entregue dar-se-á pela conferência com a descrição constante da ordem de fornecimento ou serviço;</w:t>
      </w:r>
    </w:p>
    <w:p>
      <w:pPr>
        <w:pStyle w:val="Normal"/>
        <w:spacing w:lineRule="auto" w:line="240"/>
        <w:ind w:left="110"/>
        <w:jc w:val="both"/>
        <w:rPr>
          <w:rFonts w:ascii="Verdana" w:hAnsi="Verdana"/>
        </w:rPr>
      </w:pPr>
      <w:r>
        <w:rPr>
          <w:rFonts w:ascii="Verdana" w:hAnsi="Verdana"/>
          <w:sz w:val="20"/>
          <w:szCs w:val="20"/>
        </w:rPr>
        <w:t>i) O recebimento definitivo ocorrerá com a verificação integral de todos os itens e características do produto fornecido pela CONTRATADA;</w:t>
      </w:r>
    </w:p>
    <w:p>
      <w:pPr>
        <w:pStyle w:val="Normal"/>
        <w:spacing w:lineRule="auto" w:line="240"/>
        <w:ind w:left="110"/>
        <w:jc w:val="both"/>
        <w:rPr>
          <w:rFonts w:ascii="Verdana" w:hAnsi="Verdana"/>
        </w:rPr>
      </w:pPr>
      <w:r>
        <w:rPr>
          <w:rFonts w:ascii="Verdana" w:hAnsi="Verdana"/>
          <w:sz w:val="20"/>
          <w:szCs w:val="20"/>
        </w:rPr>
        <w:t>j) O recebimento definitivo não isenta a CONTRATADA de responsabilidades futuras quanto à qualidade dos fornecimentos e serviços prestados.</w:t>
      </w:r>
    </w:p>
    <w:p>
      <w:pPr>
        <w:pStyle w:val="Normal"/>
        <w:spacing w:lineRule="auto" w:line="240"/>
        <w:ind w:left="110"/>
        <w:jc w:val="both"/>
        <w:rPr>
          <w:rFonts w:ascii="Verdana" w:hAnsi="Verdana"/>
        </w:rPr>
      </w:pPr>
      <w:r>
        <w:rPr>
          <w:rFonts w:cs="Arial" w:ascii="Verdana" w:hAnsi="Verdana"/>
          <w:sz w:val="20"/>
          <w:szCs w:val="20"/>
        </w:rPr>
        <w:t>k) O recebimento provisório dos produtos não implica aceitação dos mesmos;</w:t>
      </w:r>
    </w:p>
    <w:p>
      <w:pPr>
        <w:pStyle w:val="Normal"/>
        <w:spacing w:lineRule="auto" w:line="240"/>
        <w:ind w:left="110"/>
        <w:jc w:val="both"/>
        <w:rPr>
          <w:rFonts w:ascii="Verdana" w:hAnsi="Verdana"/>
        </w:rPr>
      </w:pPr>
      <w:r>
        <w:rPr>
          <w:rFonts w:ascii="Verdana" w:hAnsi="Verdana"/>
          <w:sz w:val="20"/>
          <w:szCs w:val="20"/>
        </w:rPr>
        <w:t>l) Os produtos que não estiverem de acordo com as especificações exigidas, apresentem vício de qualidade ou impropriedade para o uso, serão recusadas e devolvidas parcial ou totalmente, conforme caso, ficando a CONTRATADA, obrigada a substituí-los no prazo de 5 (cinco) dias úteis, contadas do recebimento da notificação escrita, sob pena de incorrer em atraso quanto ao prazo de execução;</w:t>
      </w:r>
    </w:p>
    <w:p>
      <w:pPr>
        <w:pStyle w:val="Normal"/>
        <w:spacing w:lineRule="auto" w:line="240"/>
        <w:ind w:left="110"/>
        <w:jc w:val="both"/>
        <w:rPr>
          <w:rFonts w:ascii="Verdana" w:hAnsi="Verdana"/>
        </w:rPr>
      </w:pPr>
      <w:r>
        <w:rPr>
          <w:rFonts w:ascii="Verdana" w:hAnsi="Verdana"/>
          <w:sz w:val="20"/>
          <w:szCs w:val="20"/>
        </w:rPr>
        <w:t>m) Havendo erro na Nota Fiscal ou outra circunstância impeditiva, o recebimento definitivo será suspenso, até que a empresa tome as medidas saneadoras necessárias</w:t>
      </w:r>
    </w:p>
    <w:p>
      <w:pPr>
        <w:pStyle w:val="Normal"/>
        <w:spacing w:lineRule="auto" w:line="240" w:before="57" w:after="57"/>
        <w:jc w:val="both"/>
        <w:rPr>
          <w:rFonts w:ascii="Verdana" w:hAnsi="Verdana"/>
        </w:rPr>
      </w:pPr>
      <w:r>
        <w:rPr>
          <w:rFonts w:cs="Arial" w:ascii="Verdana" w:hAnsi="Verdana"/>
          <w:b/>
          <w:sz w:val="20"/>
          <w:szCs w:val="20"/>
        </w:rPr>
        <w:t>9.14 CONTATO</w:t>
      </w:r>
    </w:p>
    <w:p>
      <w:pPr>
        <w:pStyle w:val="Normal"/>
        <w:spacing w:lineRule="auto" w:line="240" w:before="57" w:after="57"/>
        <w:jc w:val="both"/>
        <w:rPr>
          <w:rFonts w:ascii="Verdana" w:hAnsi="Verdana"/>
        </w:rPr>
      </w:pPr>
      <w:r>
        <w:rPr>
          <w:rFonts w:cs="Arial" w:ascii="Verdana" w:hAnsi="Verdana"/>
          <w:b/>
          <w:sz w:val="20"/>
          <w:szCs w:val="20"/>
        </w:rPr>
        <w:t xml:space="preserve">Tel: </w:t>
      </w:r>
      <w:r>
        <w:rPr>
          <w:rFonts w:cs="Arial" w:ascii="Verdana" w:hAnsi="Verdana"/>
          <w:sz w:val="20"/>
          <w:szCs w:val="20"/>
        </w:rPr>
        <w:t>27 3727-3993</w:t>
      </w:r>
    </w:p>
    <w:p>
      <w:pPr>
        <w:pStyle w:val="Normal"/>
        <w:spacing w:lineRule="auto" w:line="240" w:before="57" w:after="57"/>
        <w:jc w:val="both"/>
        <w:rPr>
          <w:rFonts w:ascii="Verdana" w:hAnsi="Verdana"/>
        </w:rPr>
      </w:pPr>
      <w:r>
        <w:rPr>
          <w:rFonts w:cs="Arial" w:ascii="Verdana" w:hAnsi="Verdana"/>
          <w:b/>
          <w:sz w:val="20"/>
          <w:szCs w:val="20"/>
        </w:rPr>
        <w:t xml:space="preserve">Email: </w:t>
      </w:r>
      <w:r>
        <w:rPr>
          <w:rFonts w:cs="Arial" w:ascii="Verdana" w:hAnsi="Verdana"/>
          <w:sz w:val="20"/>
          <w:szCs w:val="20"/>
        </w:rPr>
        <w:t>financeirosemecsgp@gmail.com</w:t>
      </w:r>
    </w:p>
    <w:p>
      <w:pPr>
        <w:pStyle w:val="Normal"/>
        <w:spacing w:lineRule="auto" w:line="240" w:before="57" w:after="57"/>
        <w:jc w:val="both"/>
        <w:rPr>
          <w:rFonts w:ascii="Verdana" w:hAnsi="Verdana"/>
        </w:rPr>
      </w:pPr>
      <w:r>
        <w:rPr>
          <w:rFonts w:cs="Arial" w:ascii="Verdana" w:hAnsi="Verdana"/>
          <w:b/>
          <w:color w:val="000000"/>
          <w:sz w:val="20"/>
          <w:szCs w:val="20"/>
        </w:rPr>
        <w:t xml:space="preserve">Responsável: </w:t>
      </w:r>
      <w:r>
        <w:rPr>
          <w:rFonts w:cs="Arial" w:ascii="Verdana" w:hAnsi="Verdana"/>
          <w:color w:val="000000"/>
          <w:sz w:val="20"/>
          <w:szCs w:val="20"/>
        </w:rPr>
        <w:t>Secretaria Municipal de Educação e SEMAE – Setor de Alimentação Escolar.</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20"/>
          <w:tab w:val="left" w:pos="617" w:leader="none"/>
        </w:tabs>
        <w:spacing w:lineRule="auto" w:line="240" w:before="57" w:after="57"/>
        <w:ind w:hanging="0" w:left="0"/>
        <w:contextualSpacing w:val="false"/>
        <w:jc w:val="both"/>
        <w:rPr>
          <w:rFonts w:ascii="Verdana" w:hAnsi="Verdana"/>
        </w:rPr>
      </w:pPr>
      <w:r>
        <w:rPr>
          <w:rFonts w:cs="Arial" w:ascii="Verdana" w:hAnsi="Verdana"/>
          <w:iCs/>
          <w:sz w:val="20"/>
          <w:szCs w:val="20"/>
        </w:rPr>
        <w:t>A proposta final do licitante declarado vencedor deverá ser encaminhada no prazo de 02h00min (duas horas),</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20"/>
          <w:tab w:val="left" w:pos="617" w:leader="none"/>
          <w:tab w:val="left" w:pos="900" w:leader="none"/>
        </w:tabs>
        <w:spacing w:lineRule="auto" w:line="240" w:before="57" w:after="57"/>
        <w:ind w:hanging="0" w:left="0"/>
        <w:jc w:val="both"/>
        <w:rPr>
          <w:rFonts w:ascii="Verdana" w:hAnsi="Verdana"/>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20"/>
          <w:tab w:val="left" w:pos="617" w:leader="none"/>
          <w:tab w:val="left" w:pos="900" w:leader="none"/>
        </w:tabs>
        <w:spacing w:lineRule="auto" w:line="240" w:before="57" w:after="57"/>
        <w:ind w:hanging="0" w:left="0"/>
        <w:jc w:val="both"/>
        <w:rPr>
          <w:rFonts w:ascii="Verdana" w:hAnsi="Verdana"/>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20"/>
          <w:tab w:val="left" w:pos="617" w:leader="none"/>
          <w:tab w:val="left" w:pos="900" w:leader="none"/>
        </w:tabs>
        <w:spacing w:lineRule="auto" w:line="240" w:before="57" w:after="57"/>
        <w:ind w:hanging="0" w:left="0"/>
        <w:jc w:val="both"/>
        <w:rPr>
          <w:rFonts w:ascii="Verdana" w:hAnsi="Verdana"/>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20"/>
          <w:tab w:val="left" w:pos="850" w:leader="none"/>
        </w:tabs>
        <w:spacing w:lineRule="auto" w:line="240" w:before="57" w:after="57"/>
        <w:ind w:hanging="0" w:left="0"/>
        <w:jc w:val="both"/>
        <w:rPr>
          <w:rFonts w:ascii="Verdana" w:hAnsi="Verdana"/>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20"/>
          <w:tab w:val="left" w:pos="850" w:leader="none"/>
        </w:tabs>
        <w:spacing w:lineRule="auto" w:line="240" w:before="57" w:after="57"/>
        <w:ind w:hanging="0" w:left="0"/>
        <w:jc w:val="both"/>
        <w:rPr>
          <w:rFonts w:ascii="Verdana" w:hAnsi="Verdana"/>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sz w:val="20"/>
          <w:szCs w:val="20"/>
          <w:lang w:eastAsia="en-US"/>
        </w:rPr>
        <w:t>DOS RECURSOS</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20"/>
          <w:tab w:val="left" w:pos="850" w:leader="none"/>
        </w:tabs>
        <w:snapToGrid w:val="false"/>
        <w:spacing w:lineRule="auto" w:line="240" w:before="57" w:after="57"/>
        <w:ind w:hanging="0" w:left="0"/>
        <w:jc w:val="both"/>
        <w:rPr>
          <w:rFonts w:ascii="Verdana" w:hAnsi="Verdana"/>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Os autos do processo permanecerão com vista franqueada aos interessados, no endereço constante neste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40" w:before="57" w:after="57"/>
        <w:ind w:hanging="0" w:left="0"/>
        <w:rPr>
          <w:rFonts w:ascii="Verdana" w:hAnsi="Verdana"/>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850" w:leader="none"/>
        </w:tabs>
        <w:spacing w:lineRule="auto" w:line="240" w:before="57" w:after="57"/>
        <w:ind w:hanging="0" w:left="0"/>
        <w:rPr>
          <w:rFonts w:ascii="Verdana" w:hAnsi="Verdana"/>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850" w:leader="none"/>
        </w:tabs>
        <w:spacing w:lineRule="auto" w:line="240" w:before="57" w:after="57"/>
        <w:ind w:hanging="0" w:left="0"/>
        <w:rPr>
          <w:rFonts w:ascii="Verdana" w:hAnsi="Verdana"/>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57" w:after="57"/>
        <w:ind w:hanging="0" w:left="0"/>
        <w:rPr>
          <w:rFonts w:ascii="Verdana" w:hAnsi="Verdana"/>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850" w:leader="none"/>
        </w:tabs>
        <w:spacing w:lineRule="auto" w:line="240" w:before="57" w:after="57"/>
        <w:ind w:hanging="0" w:left="0"/>
        <w:rPr>
          <w:rFonts w:ascii="Verdana" w:hAnsi="Verdana"/>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850" w:leader="none"/>
        </w:tabs>
        <w:spacing w:lineRule="auto" w:line="240" w:before="57" w:after="57"/>
        <w:ind w:hanging="0" w:left="0"/>
        <w:rPr>
          <w:rFonts w:ascii="Verdana" w:hAnsi="Verdana"/>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spacing w:lineRule="auto" w:line="240" w:before="57" w:after="57"/>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rPr>
      </w:pPr>
      <w:r>
        <w:rPr>
          <w:rFonts w:cs="Arial" w:ascii="Verdana" w:hAnsi="Verdana"/>
          <w:sz w:val="20"/>
          <w:szCs w:val="20"/>
        </w:rPr>
        <w:t xml:space="preserve">DA ADJUDICAÇÃO E HOMOLOGAÇÃO </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57" w:after="57"/>
        <w:ind w:hanging="0" w:left="0"/>
        <w:contextualSpacing w:val="false"/>
        <w:jc w:val="both"/>
        <w:rPr>
          <w:rFonts w:ascii="Verdana" w:hAnsi="Verdana"/>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ormal"/>
        <w:spacing w:lineRule="auto" w:line="240" w:before="57" w:after="57"/>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b/>
          <w:bCs/>
          <w:sz w:val="20"/>
          <w:szCs w:val="20"/>
        </w:rPr>
        <w:t>14 DO TERMO DE CONTRATO</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sz w:val="20"/>
          <w:szCs w:val="20"/>
        </w:rPr>
        <w:t>14.1</w:t>
      </w:r>
      <w:r>
        <w:rPr>
          <w:rFonts w:cs="Arial" w:ascii="Verdana" w:hAnsi="Verdana"/>
          <w:b/>
          <w:bCs/>
          <w:sz w:val="20"/>
          <w:szCs w:val="20"/>
        </w:rPr>
        <w:t xml:space="preserve"> </w:t>
      </w:r>
      <w:r>
        <w:rPr>
          <w:rFonts w:cs="Arial" w:ascii="Verdana" w:hAnsi="Verdana"/>
          <w:bCs/>
          <w:sz w:val="20"/>
          <w:szCs w:val="20"/>
        </w:rPr>
        <w:t>Após a homologação da licitação, em sendo realizada a contratação, será firmado Termo de Contrato ou emitido instrumento equivalente.</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sz w:val="20"/>
          <w:szCs w:val="20"/>
        </w:rPr>
        <w:t>14.2</w:t>
      </w:r>
      <w:r>
        <w:rPr>
          <w:rFonts w:cs="Arial" w:ascii="Verdana" w:hAnsi="Verdana"/>
          <w:b/>
          <w:bCs/>
          <w:sz w:val="20"/>
          <w:szCs w:val="20"/>
        </w:rPr>
        <w:t xml:space="preserve"> </w:t>
      </w:r>
      <w:r>
        <w:rPr>
          <w:rFonts w:cs="Arial" w:ascii="Verdana" w:hAnsi="Verdana"/>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iCs/>
          <w:sz w:val="20"/>
          <w:szCs w:val="20"/>
        </w:rPr>
        <w:t>14.2.2 O prazo previsto no subitem anterior poderá ser prorrogado, por igual período, por solicitação justificada do adjudicatário e aceita pela Administração.</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iCs/>
          <w:sz w:val="20"/>
          <w:szCs w:val="20"/>
        </w:rPr>
        <w:t>14.3</w:t>
      </w:r>
      <w:r>
        <w:rPr>
          <w:rFonts w:cs="Arial" w:ascii="Verdana" w:hAnsi="Verdana"/>
          <w:b/>
          <w:bCs/>
          <w:iCs/>
          <w:sz w:val="20"/>
          <w:szCs w:val="20"/>
        </w:rPr>
        <w:t xml:space="preserve"> </w:t>
      </w:r>
      <w:r>
        <w:rPr>
          <w:rFonts w:cs="Arial" w:ascii="Verdana" w:hAnsi="Verdana"/>
          <w:bCs/>
          <w:iCs/>
          <w:sz w:val="20"/>
          <w:szCs w:val="20"/>
        </w:rPr>
        <w:t>O Aceite da Nota de Empenho ou do instrumento equivalente, emitida à empresa adjudicada, implica no reconhecimento de que:</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bCs/>
          <w:iCs/>
          <w:sz w:val="20"/>
          <w:szCs w:val="20"/>
        </w:rPr>
        <w:t>14.3.1 Referida Nota está substituindo o contrato, aplicando-se à relação de negócios ali estabelecida as disposições da Lei nº 14.133, de 2021;</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bCs/>
          <w:iCs/>
          <w:sz w:val="20"/>
          <w:szCs w:val="20"/>
        </w:rPr>
        <w:t>14.3.2 A contratada se vincula à sua proposta e às previsões contidas no edital e seus anexos;</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sz w:val="20"/>
          <w:szCs w:val="20"/>
        </w:rPr>
        <w:t>14.4</w:t>
      </w:r>
      <w:r>
        <w:rPr>
          <w:rFonts w:cs="Arial" w:ascii="Verdana" w:hAnsi="Verdana"/>
          <w:b/>
          <w:bCs/>
          <w:sz w:val="20"/>
          <w:szCs w:val="20"/>
        </w:rPr>
        <w:t xml:space="preserve"> </w:t>
      </w:r>
      <w:r>
        <w:rPr>
          <w:rFonts w:cs="Arial" w:ascii="Verdana" w:hAnsi="Verdana"/>
          <w:bCs/>
          <w:sz w:val="20"/>
          <w:szCs w:val="20"/>
        </w:rPr>
        <w:t>O prazo de vigência da contratação é de 12 (doze) meses, prorrogável conforme previsão no instrumento contratual.</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sz w:val="20"/>
          <w:szCs w:val="20"/>
        </w:rPr>
        <w:t>14.5.1 Nos casos em que houver necessidade de assinatura do instrumento de contrato, e o fornecedor não estiver inscrito no SICAF, este deverá proceder ao seu cadastramento, sem ônus, antes da contratação.</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sz w:val="20"/>
          <w:szCs w:val="20"/>
        </w:rPr>
        <w:t>14.5.2 Na hipótese de irregularidade do registro no SICAF, o contratado deverá regularizar a sua situação perante o cadastro no prazo de até 05 (cinco) dias úteis, sob pena de aplicação das penalidades previstas no edital e anexos.</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pPr>
        <w:pStyle w:val="ListParagraph"/>
        <w:tabs>
          <w:tab w:val="clear" w:pos="720"/>
          <w:tab w:val="left" w:pos="850" w:leader="none"/>
        </w:tabs>
        <w:spacing w:lineRule="auto" w:line="240" w:before="57" w:after="57"/>
        <w:ind w:left="0"/>
        <w:contextualSpacing w:val="false"/>
        <w:jc w:val="both"/>
        <w:rPr>
          <w:rFonts w:ascii="Verdana" w:hAnsi="Verdana"/>
        </w:rPr>
      </w:pPr>
      <w:r>
        <w:rPr>
          <w:rFonts w:cs="Arial" w:ascii="Verdana" w:hAnsi="Verdana"/>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sz w:val="20"/>
          <w:szCs w:val="20"/>
        </w:rPr>
        <w:t>15. DO REAJUSTAMENTO EM SENTIDO GERAL</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sz w:val="20"/>
          <w:szCs w:val="20"/>
        </w:rPr>
        <w:t>16. DA ACEITAÇÃO DO OBJETO E DA FISCALIZAÇÃO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lang w:eastAsia="en-US"/>
        </w:rPr>
        <w:t>16.1 Os critérios de recebimento e aceitação do objeto e de fiscalização estão previstos no Termo de Referência e Minuta de Contrato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sz w:val="20"/>
          <w:szCs w:val="20"/>
          <w:lang w:eastAsia="en-US"/>
        </w:rPr>
        <w:t>17. DAS OBRIGAÇÕES DA CONTRATANTE E DA CONTRATADA</w:t>
      </w:r>
    </w:p>
    <w:p>
      <w:pPr>
        <w:pStyle w:val="ListParagraph"/>
        <w:spacing w:lineRule="auto" w:line="240" w:before="57" w:after="57"/>
        <w:ind w:left="0"/>
        <w:contextualSpacing w:val="false"/>
        <w:jc w:val="both"/>
        <w:rPr>
          <w:rFonts w:ascii="Verdana" w:hAnsi="Verdana"/>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Tahoma" w:ascii="Verdana" w:hAnsi="Verdana"/>
          <w:color w:val="auto"/>
          <w:sz w:val="20"/>
          <w:szCs w:val="20"/>
        </w:rPr>
        <w:t>18</w:t>
      </w:r>
      <w:r>
        <w:rPr>
          <w:rFonts w:cs="Arial" w:ascii="Verdana" w:hAnsi="Verdana"/>
          <w:sz w:val="20"/>
          <w:szCs w:val="20"/>
        </w:rPr>
        <w:t>. DO PAGAMENTO</w:t>
      </w:r>
    </w:p>
    <w:p>
      <w:pPr>
        <w:pStyle w:val="ListParagraph"/>
        <w:spacing w:lineRule="auto" w:line="240" w:before="57" w:after="57"/>
        <w:ind w:left="0"/>
        <w:contextualSpacing w:val="false"/>
        <w:jc w:val="both"/>
        <w:rPr>
          <w:rFonts w:ascii="Verdana" w:hAnsi="Verdana"/>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regras acerca do pagamento são as estabelecidas no Termo de Referência e Minuta de Contrato anexo a este edital.</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sz w:val="20"/>
          <w:szCs w:val="20"/>
        </w:rPr>
        <w:t>19. DAS SANÇÕES ADMINISTRATIVAS.</w:t>
      </w:r>
    </w:p>
    <w:p>
      <w:pPr>
        <w:pStyle w:val="ListParagraph"/>
        <w:spacing w:lineRule="auto" w:line="240" w:before="57" w:after="57"/>
        <w:ind w:left="0"/>
        <w:contextualSpacing w:val="false"/>
        <w:jc w:val="both"/>
        <w:rPr>
          <w:rFonts w:ascii="Verdana" w:hAnsi="Verdana"/>
        </w:rPr>
      </w:pPr>
      <w:r>
        <w:rPr>
          <w:rFonts w:cs="Arial" w:ascii="Verdana" w:hAnsi="Verdana"/>
          <w:sz w:val="20"/>
          <w:szCs w:val="20"/>
          <w:shd w:fill="FFFFFF" w:val="clear"/>
        </w:rPr>
        <w:t>19.1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19.1.1 D</w:t>
      </w:r>
      <w:bookmarkStart w:id="11"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1"/>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 xml:space="preserve">19.1.2 </w:t>
      </w:r>
      <w:bookmarkStart w:id="12" w:name="_Ref114668108"/>
      <w:r>
        <w:rPr>
          <w:rFonts w:cs="Arial" w:ascii="Verdana" w:hAnsi="Verdana"/>
          <w:sz w:val="20"/>
          <w:szCs w:val="20"/>
          <w:shd w:fill="FFFFFF" w:val="clear"/>
        </w:rPr>
        <w:t>Salvo em decorrência de fato superveniente devidamente justificado, não mantiver a proposta em especial quando:</w:t>
      </w:r>
      <w:bookmarkEnd w:id="12"/>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19.1.2.1 Não enviar a proposta adequada ao último lance ofertado ou após a negociação;</w:t>
      </w:r>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19.1.2.2 Recusar-se a enviar o detalhamento da proposta quando exigível;</w:t>
      </w:r>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rPr>
        <w:t xml:space="preserve">19.1.2.3 Pedir para ser desclassificado quando encerrada a etapa competitiva; ou </w:t>
      </w:r>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19.1.2.4 Deixar de apresentar amostra;</w:t>
      </w:r>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19.1.2.5 Apresentar proposta ou amostra em desacordo com as especificações do edital;</w:t>
      </w:r>
    </w:p>
    <w:p>
      <w:pPr>
        <w:pStyle w:val="Normal"/>
        <w:tabs>
          <w:tab w:val="clear" w:pos="720"/>
          <w:tab w:val="left" w:pos="850" w:leader="none"/>
          <w:tab w:val="left" w:pos="1440" w:leader="none"/>
        </w:tabs>
        <w:snapToGrid w:val="false"/>
        <w:spacing w:lineRule="auto" w:line="240" w:before="57" w:after="57"/>
        <w:jc w:val="both"/>
        <w:rPr>
          <w:rFonts w:ascii="Verdana" w:hAnsi="Verdana"/>
        </w:rPr>
      </w:pPr>
      <w:r>
        <w:rPr>
          <w:rFonts w:cs="Arial" w:ascii="Verdana" w:hAnsi="Verdana"/>
          <w:sz w:val="20"/>
          <w:szCs w:val="20"/>
          <w:shd w:fill="FFFFFF" w:val="clear"/>
        </w:rPr>
        <w:t>19.1.3 Não celebrar o contrato ou não entregar documentação exigida para a contratação quando convocado dentro do prazo de validade de sua proposta;</w:t>
      </w:r>
    </w:p>
    <w:p>
      <w:pPr>
        <w:pStyle w:val="Normal"/>
        <w:spacing w:lineRule="auto" w:line="240" w:before="57" w:after="57"/>
        <w:jc w:val="both"/>
        <w:rPr>
          <w:rFonts w:ascii="Verdana" w:hAnsi="Verdana"/>
        </w:rPr>
      </w:pPr>
      <w:r>
        <w:rPr>
          <w:rFonts w:cs="Arial" w:ascii="Verdana" w:hAnsi="Verdana"/>
          <w:sz w:val="20"/>
          <w:szCs w:val="20"/>
          <w:shd w:fill="FFFFFF" w:val="clear"/>
        </w:rPr>
        <w:t>19.1.3.1 Recusar-se sem justificativa, a assinar o contrato ou a ata de registro de preço, ou a aceitar ou retirar o instrumento equivalente no prazo estabelecido pela Administração;</w:t>
      </w:r>
    </w:p>
    <w:p>
      <w:pPr>
        <w:pStyle w:val="Normal"/>
        <w:spacing w:lineRule="auto" w:line="240" w:before="57" w:after="57"/>
        <w:jc w:val="both"/>
        <w:rPr>
          <w:rFonts w:ascii="Verdana" w:hAnsi="Verdana"/>
        </w:rPr>
      </w:pPr>
      <w:r>
        <w:rPr>
          <w:rFonts w:ascii="Verdana" w:hAnsi="Verdana"/>
          <w:sz w:val="20"/>
          <w:szCs w:val="20"/>
        </w:rPr>
        <w:t>19.1.4 A</w:t>
      </w:r>
      <w:bookmarkStart w:id="13" w:name="_Ref114668249"/>
      <w:r>
        <w:rPr>
          <w:rFonts w:ascii="Verdana" w:hAnsi="Verdana"/>
          <w:sz w:val="20"/>
          <w:szCs w:val="20"/>
        </w:rPr>
        <w:t>presentar declaração ou documentação falsa exigida para o certame ou prestar declaração falsa durante a licitação</w:t>
      </w:r>
      <w:bookmarkEnd w:id="13"/>
    </w:p>
    <w:p>
      <w:pPr>
        <w:pStyle w:val="Normal"/>
        <w:spacing w:lineRule="auto" w:line="240" w:before="57" w:after="57"/>
        <w:jc w:val="both"/>
        <w:rPr>
          <w:rFonts w:ascii="Verdana" w:hAnsi="Verdana"/>
        </w:rPr>
      </w:pPr>
      <w:r>
        <w:rPr>
          <w:rFonts w:ascii="Verdana" w:hAnsi="Verdana"/>
          <w:sz w:val="20"/>
          <w:szCs w:val="20"/>
        </w:rPr>
        <w:t>19.1.5 F</w:t>
      </w:r>
      <w:bookmarkStart w:id="14" w:name="_Ref114668245"/>
      <w:r>
        <w:rPr>
          <w:rFonts w:ascii="Verdana" w:hAnsi="Verdana"/>
          <w:sz w:val="20"/>
          <w:szCs w:val="20"/>
        </w:rPr>
        <w:t>raudar a licitação</w:t>
      </w:r>
      <w:bookmarkEnd w:id="14"/>
    </w:p>
    <w:p>
      <w:pPr>
        <w:pStyle w:val="Normal"/>
        <w:spacing w:lineRule="auto" w:line="240" w:before="57" w:after="57"/>
        <w:jc w:val="both"/>
        <w:rPr>
          <w:rFonts w:ascii="Verdana" w:hAnsi="Verdana"/>
        </w:rPr>
      </w:pPr>
      <w:r>
        <w:rPr>
          <w:rFonts w:ascii="Verdana" w:hAnsi="Verdana"/>
          <w:sz w:val="20"/>
          <w:szCs w:val="20"/>
        </w:rPr>
        <w:t>19.1.6 C</w:t>
      </w:r>
      <w:bookmarkStart w:id="15" w:name="_Ref114668247"/>
      <w:r>
        <w:rPr>
          <w:rFonts w:ascii="Verdana" w:hAnsi="Verdana"/>
          <w:sz w:val="20"/>
          <w:szCs w:val="20"/>
        </w:rPr>
        <w:t>omportar-se de modo inidôneo ou cometer fraude de qualquer natureza, em especial quando:</w:t>
      </w:r>
      <w:bookmarkEnd w:id="15"/>
    </w:p>
    <w:p>
      <w:pPr>
        <w:pStyle w:val="Normal"/>
        <w:spacing w:lineRule="auto" w:line="240" w:before="57" w:after="57"/>
        <w:jc w:val="both"/>
        <w:rPr>
          <w:rFonts w:ascii="Verdana" w:hAnsi="Verdana"/>
        </w:rPr>
      </w:pPr>
      <w:r>
        <w:rPr>
          <w:rFonts w:ascii="Verdana" w:hAnsi="Verdana"/>
          <w:sz w:val="20"/>
          <w:szCs w:val="20"/>
        </w:rPr>
        <w:t>19.1.6.1 Agir em conluio ou em desconformidade com a lei;</w:t>
      </w:r>
    </w:p>
    <w:p>
      <w:pPr>
        <w:pStyle w:val="Normal"/>
        <w:spacing w:lineRule="auto" w:line="240" w:before="57" w:after="57"/>
        <w:jc w:val="both"/>
        <w:rPr>
          <w:rFonts w:ascii="Verdana" w:hAnsi="Verdana"/>
        </w:rPr>
      </w:pPr>
      <w:r>
        <w:rPr>
          <w:rFonts w:ascii="Verdana" w:hAnsi="Verdana"/>
          <w:sz w:val="20"/>
          <w:szCs w:val="20"/>
        </w:rPr>
        <w:t>19.1.6.2 Induzir deliberadamente a erro no julgamento;</w:t>
      </w:r>
    </w:p>
    <w:p>
      <w:pPr>
        <w:pStyle w:val="Normal"/>
        <w:spacing w:lineRule="auto" w:line="240" w:before="57" w:after="57"/>
        <w:jc w:val="both"/>
        <w:rPr>
          <w:rFonts w:ascii="Verdana" w:hAnsi="Verdana"/>
        </w:rPr>
      </w:pPr>
      <w:r>
        <w:rPr>
          <w:rFonts w:ascii="Verdana" w:hAnsi="Verdana"/>
          <w:sz w:val="20"/>
          <w:szCs w:val="20"/>
        </w:rPr>
        <w:t>19.1.6.3 Apresentar amostra falsificada ou deteriorada;</w:t>
      </w:r>
    </w:p>
    <w:p>
      <w:pPr>
        <w:pStyle w:val="Normal"/>
        <w:spacing w:lineRule="auto" w:line="240" w:before="57" w:after="57"/>
        <w:jc w:val="both"/>
        <w:rPr>
          <w:rFonts w:ascii="Verdana" w:hAnsi="Verdana"/>
        </w:rPr>
      </w:pPr>
      <w:r>
        <w:rPr>
          <w:rFonts w:ascii="Verdana" w:hAnsi="Verdana"/>
          <w:sz w:val="20"/>
          <w:szCs w:val="20"/>
        </w:rPr>
        <w:t>19.1.7 P</w:t>
      </w:r>
      <w:bookmarkStart w:id="16" w:name="_Ref114668251"/>
      <w:r>
        <w:rPr>
          <w:rFonts w:ascii="Verdana" w:hAnsi="Verdana"/>
          <w:sz w:val="20"/>
          <w:szCs w:val="20"/>
        </w:rPr>
        <w:t>raticar atos ilícitos com vistas a frustrar os objetivos da licitação</w:t>
      </w:r>
      <w:bookmarkEnd w:id="16"/>
    </w:p>
    <w:p>
      <w:pPr>
        <w:pStyle w:val="Normal"/>
        <w:spacing w:lineRule="auto" w:line="240" w:before="57" w:after="57"/>
        <w:jc w:val="both"/>
        <w:rPr/>
      </w:pPr>
      <w:r>
        <w:rPr>
          <w:rFonts w:ascii="Verdana" w:hAnsi="Verdana"/>
          <w:sz w:val="20"/>
          <w:szCs w:val="20"/>
        </w:rPr>
        <w:t>19.1.8 P</w:t>
      </w:r>
      <w:bookmarkStart w:id="17" w:name="_Ref114668252"/>
      <w:r>
        <w:rPr>
          <w:rFonts w:ascii="Verdana" w:hAnsi="Verdana"/>
          <w:sz w:val="20"/>
          <w:szCs w:val="20"/>
        </w:rPr>
        <w:t xml:space="preserve">raticar ato lesivo previsto no </w:t>
      </w:r>
      <w:r>
        <w:fldChar w:fldCharType="begin"/>
      </w:r>
      <w:r>
        <w:rPr>
          <w:rStyle w:val="Style6"/>
          <w:rFonts w:ascii="Verdana" w:hAnsi="Verdana"/>
          <w:color w:val="000000"/>
          <w:sz w:val="20"/>
          <w:szCs w:val="20"/>
        </w:rPr>
        <w:instrText xml:space="preserve"> HYPERLINK "https://www.planalto.gov.br/ccivil_03/_ato2011-2014/2013/lei/l12846.htm" \l "art5"</w:instrText>
      </w:r>
      <w:r>
        <w:rPr>
          <w:rStyle w:val="Style6"/>
          <w:rFonts w:ascii="Verdana" w:hAnsi="Verdana"/>
          <w:color w:val="000000"/>
          <w:sz w:val="20"/>
          <w:szCs w:val="20"/>
        </w:rPr>
        <w:fldChar w:fldCharType="separate"/>
      </w:r>
      <w:r>
        <w:rPr>
          <w:rStyle w:val="Style6"/>
          <w:rFonts w:ascii="Verdana" w:hAnsi="Verdana"/>
          <w:color w:val="000000"/>
          <w:sz w:val="20"/>
          <w:szCs w:val="20"/>
        </w:rPr>
        <w:t>art. 5º da Lei n.º 12.846, de 2013</w:t>
      </w:r>
      <w:r>
        <w:rPr>
          <w:rStyle w:val="Style6"/>
          <w:rFonts w:ascii="Verdana" w:hAnsi="Verdana"/>
          <w:color w:val="000000"/>
          <w:sz w:val="20"/>
          <w:szCs w:val="20"/>
        </w:rPr>
        <w:fldChar w:fldCharType="end"/>
      </w:r>
      <w:r>
        <w:rPr>
          <w:rFonts w:ascii="Verdana" w:hAnsi="Verdana"/>
          <w:sz w:val="20"/>
          <w:szCs w:val="20"/>
        </w:rPr>
        <w:t>.</w:t>
      </w:r>
      <w:bookmarkEnd w:id="17"/>
    </w:p>
    <w:p>
      <w:pPr>
        <w:pStyle w:val="Nivel2"/>
        <w:numPr>
          <w:ilvl w:val="0"/>
          <w:numId w:val="0"/>
        </w:numPr>
        <w:spacing w:lineRule="auto" w:line="240" w:before="57" w:after="57"/>
        <w:ind w:hanging="0" w:left="0"/>
        <w:rPr/>
      </w:pPr>
      <w:r>
        <w:rPr>
          <w:rFonts w:ascii="Verdana" w:hAnsi="Verdana"/>
          <w:sz w:val="20"/>
          <w:szCs w:val="20"/>
        </w:rPr>
        <w:t xml:space="preserve">19.2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Pr>
          <w:rFonts w:ascii="Verdana" w:hAnsi="Verdana"/>
        </w:rPr>
      </w:pPr>
      <w:r>
        <w:rPr>
          <w:rFonts w:ascii="Verdana" w:hAnsi="Verdana"/>
          <w:sz w:val="20"/>
          <w:szCs w:val="20"/>
        </w:rPr>
        <w:t>19.2.1 Advertência;</w:t>
      </w:r>
    </w:p>
    <w:p>
      <w:pPr>
        <w:pStyle w:val="Nivel2"/>
        <w:numPr>
          <w:ilvl w:val="0"/>
          <w:numId w:val="0"/>
        </w:numPr>
        <w:spacing w:lineRule="auto" w:line="240" w:before="57" w:after="57"/>
        <w:ind w:hanging="0" w:left="0"/>
        <w:rPr>
          <w:rFonts w:ascii="Verdana" w:hAnsi="Verdana"/>
        </w:rPr>
      </w:pPr>
      <w:r>
        <w:rPr>
          <w:rFonts w:ascii="Verdana" w:hAnsi="Verdana"/>
          <w:sz w:val="20"/>
          <w:szCs w:val="20"/>
        </w:rPr>
        <w:t>19.2.2 Multa;</w:t>
      </w:r>
    </w:p>
    <w:p>
      <w:pPr>
        <w:pStyle w:val="Nivel2"/>
        <w:numPr>
          <w:ilvl w:val="0"/>
          <w:numId w:val="0"/>
        </w:numPr>
        <w:spacing w:lineRule="auto" w:line="240" w:before="57" w:after="57"/>
        <w:ind w:hanging="0" w:left="0"/>
        <w:rPr>
          <w:rFonts w:ascii="Verdana" w:hAnsi="Verdana"/>
        </w:rPr>
      </w:pPr>
      <w:r>
        <w:rPr>
          <w:rFonts w:ascii="Verdana" w:hAnsi="Verdana"/>
          <w:sz w:val="20"/>
          <w:szCs w:val="20"/>
        </w:rPr>
        <w:t>19.2.3 Impedimento de licitar e contratar e</w:t>
      </w:r>
    </w:p>
    <w:p>
      <w:pPr>
        <w:pStyle w:val="Nivel2"/>
        <w:numPr>
          <w:ilvl w:val="0"/>
          <w:numId w:val="0"/>
        </w:numPr>
        <w:spacing w:lineRule="auto" w:line="240" w:before="57" w:after="57"/>
        <w:ind w:hanging="0" w:left="0"/>
        <w:rPr>
          <w:rFonts w:ascii="Verdana" w:hAnsi="Verdana"/>
        </w:rPr>
      </w:pPr>
      <w:r>
        <w:rPr>
          <w:rFonts w:ascii="Verdana" w:hAnsi="Verdana"/>
          <w:sz w:val="20"/>
          <w:szCs w:val="20"/>
        </w:rPr>
        <w:t>19.2.4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rPr>
      </w:pPr>
      <w:r>
        <w:rPr>
          <w:rFonts w:ascii="Verdana" w:hAnsi="Verdana"/>
          <w:sz w:val="20"/>
          <w:szCs w:val="20"/>
        </w:rPr>
        <w:t>19.3 Na aplicação das sanções serão considerados:</w:t>
      </w:r>
    </w:p>
    <w:p>
      <w:pPr>
        <w:pStyle w:val="Nivel2"/>
        <w:numPr>
          <w:ilvl w:val="0"/>
          <w:numId w:val="0"/>
        </w:numPr>
        <w:spacing w:lineRule="auto" w:line="240" w:before="57" w:after="57"/>
        <w:ind w:hanging="0" w:left="0"/>
        <w:rPr>
          <w:rFonts w:ascii="Verdana" w:hAnsi="Verdana"/>
        </w:rPr>
      </w:pPr>
      <w:r>
        <w:rPr>
          <w:rFonts w:ascii="Verdana" w:hAnsi="Verdana"/>
          <w:sz w:val="20"/>
          <w:szCs w:val="20"/>
        </w:rPr>
        <w:t>19.3.1 A natureza e a gravidade da infração cometida.</w:t>
      </w:r>
    </w:p>
    <w:p>
      <w:pPr>
        <w:pStyle w:val="Nivel2"/>
        <w:numPr>
          <w:ilvl w:val="0"/>
          <w:numId w:val="0"/>
        </w:numPr>
        <w:spacing w:lineRule="auto" w:line="240" w:before="57" w:after="57"/>
        <w:ind w:hanging="0" w:left="0"/>
        <w:rPr>
          <w:rFonts w:ascii="Verdana" w:hAnsi="Verdana"/>
        </w:rPr>
      </w:pPr>
      <w:r>
        <w:rPr>
          <w:rFonts w:ascii="Verdana" w:hAnsi="Verdana"/>
          <w:sz w:val="20"/>
          <w:szCs w:val="20"/>
        </w:rPr>
        <w:t>19.3.2 As peculiaridades do caso concreto</w:t>
      </w:r>
    </w:p>
    <w:p>
      <w:pPr>
        <w:pStyle w:val="Nivel2"/>
        <w:numPr>
          <w:ilvl w:val="0"/>
          <w:numId w:val="0"/>
        </w:numPr>
        <w:spacing w:lineRule="auto" w:line="240" w:before="57" w:after="57"/>
        <w:ind w:hanging="0" w:left="0"/>
        <w:rPr>
          <w:rFonts w:ascii="Verdana" w:hAnsi="Verdana"/>
        </w:rPr>
      </w:pPr>
      <w:r>
        <w:rPr>
          <w:rFonts w:ascii="Verdana" w:hAnsi="Verdana"/>
          <w:sz w:val="20"/>
          <w:szCs w:val="20"/>
        </w:rPr>
        <w:t>19.3.3 As circunstâncias agravantes ou atenuantes</w:t>
      </w:r>
    </w:p>
    <w:p>
      <w:pPr>
        <w:pStyle w:val="Nivel2"/>
        <w:numPr>
          <w:ilvl w:val="0"/>
          <w:numId w:val="0"/>
        </w:numPr>
        <w:spacing w:lineRule="auto" w:line="240" w:before="57" w:after="57"/>
        <w:ind w:hanging="0" w:left="0"/>
        <w:rPr>
          <w:rFonts w:ascii="Verdana" w:hAnsi="Verdana"/>
        </w:rPr>
      </w:pPr>
      <w:r>
        <w:rPr>
          <w:rFonts w:ascii="Verdana" w:hAnsi="Verdana"/>
          <w:sz w:val="20"/>
          <w:szCs w:val="20"/>
        </w:rPr>
        <w:t>19.3.4 Os danos que dela provierem para a Administração Pública</w:t>
      </w:r>
    </w:p>
    <w:p>
      <w:pPr>
        <w:pStyle w:val="Nivel2"/>
        <w:numPr>
          <w:ilvl w:val="0"/>
          <w:numId w:val="0"/>
        </w:numPr>
        <w:spacing w:lineRule="auto" w:line="240" w:before="57" w:after="57"/>
        <w:ind w:hanging="0" w:left="0"/>
        <w:rPr>
          <w:rFonts w:ascii="Verdana" w:hAnsi="Verdana"/>
        </w:rPr>
      </w:pPr>
      <w:r>
        <w:rPr>
          <w:rFonts w:ascii="Verdana" w:hAnsi="Verdana"/>
          <w:sz w:val="20"/>
          <w:szCs w:val="20"/>
        </w:rPr>
        <w:t>19.3.5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rPr>
      </w:pPr>
      <w:r>
        <w:rPr>
          <w:rFonts w:ascii="Verdana" w:hAnsi="Verdana"/>
          <w:sz w:val="20"/>
          <w:szCs w:val="20"/>
        </w:rPr>
        <w:t xml:space="preserve">19.4 A multa será recolhida em percentual de 0,5% a 30% incidente sobre o valor do contrato licitado, recolhida no prazo máximo de </w:t>
      </w:r>
      <w:r>
        <w:rPr>
          <w:rFonts w:ascii="Verdana" w:hAnsi="Verdana"/>
          <w:b/>
          <w:bCs/>
          <w:color w:val="FF0000"/>
          <w:sz w:val="20"/>
          <w:szCs w:val="20"/>
        </w:rPr>
        <w:t>15 (quinze) dias</w:t>
      </w:r>
      <w:r>
        <w:rPr>
          <w:rFonts w:ascii="Verdana" w:hAnsi="Verdana"/>
          <w:color w:val="FF0000"/>
          <w:sz w:val="20"/>
          <w:szCs w:val="20"/>
        </w:rPr>
        <w:t xml:space="preserve"> </w:t>
      </w:r>
      <w:r>
        <w:rPr>
          <w:rFonts w:ascii="Verdana" w:hAnsi="Verdana"/>
          <w:sz w:val="20"/>
          <w:szCs w:val="20"/>
        </w:rPr>
        <w:t>úteis, a contar da comunicação oficial.</w:t>
      </w:r>
    </w:p>
    <w:p>
      <w:pPr>
        <w:pStyle w:val="Nivel2"/>
        <w:numPr>
          <w:ilvl w:val="0"/>
          <w:numId w:val="0"/>
        </w:numPr>
        <w:spacing w:lineRule="auto" w:line="240" w:before="57" w:after="57"/>
        <w:ind w:hanging="0" w:left="0"/>
        <w:rPr>
          <w:rFonts w:ascii="Verdana" w:hAnsi="Verdana"/>
        </w:rPr>
      </w:pPr>
      <w:r>
        <w:rPr>
          <w:rFonts w:ascii="Verdana" w:hAnsi="Verdana"/>
          <w:sz w:val="20"/>
          <w:szCs w:val="20"/>
        </w:rPr>
        <w:t xml:space="preserve">19.4.1 </w:t>
      </w:r>
      <w:bookmarkStart w:id="18" w:name="_Hlk113876035"/>
      <w:r>
        <w:rPr>
          <w:rFonts w:ascii="Verdana" w:hAnsi="Verdana"/>
          <w:sz w:val="20"/>
          <w:szCs w:val="20"/>
        </w:rPr>
        <w:t xml:space="preserve">Para as infrações previstas nos itens 20.1.1, 20.1.2 e 20.1.3, a multa será de </w:t>
      </w:r>
      <w:r>
        <w:rPr>
          <w:rFonts w:ascii="Verdana" w:hAnsi="Verdana"/>
          <w:color w:val="FF0000"/>
          <w:sz w:val="20"/>
          <w:szCs w:val="20"/>
        </w:rPr>
        <w:t xml:space="preserve">0,5% </w:t>
      </w:r>
      <w:r>
        <w:rPr>
          <w:rFonts w:ascii="Verdana" w:hAnsi="Verdana"/>
          <w:sz w:val="20"/>
          <w:szCs w:val="20"/>
        </w:rPr>
        <w:t xml:space="preserve">a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do valor do contrato licitado.</w:t>
      </w:r>
      <w:bookmarkEnd w:id="18"/>
    </w:p>
    <w:p>
      <w:pPr>
        <w:pStyle w:val="Nivel2"/>
        <w:numPr>
          <w:ilvl w:val="0"/>
          <w:numId w:val="0"/>
        </w:numPr>
        <w:spacing w:lineRule="auto" w:line="240" w:before="57" w:after="57"/>
        <w:ind w:hanging="0" w:left="0"/>
        <w:rPr>
          <w:rFonts w:ascii="Verdana" w:hAnsi="Verdana"/>
        </w:rPr>
      </w:pPr>
      <w:r>
        <w:rPr>
          <w:rFonts w:ascii="Verdana" w:hAnsi="Verdana"/>
          <w:sz w:val="20"/>
          <w:szCs w:val="20"/>
        </w:rPr>
        <w:t xml:space="preserve">19.4.2 Para as infrações previstas nos itens 20.1.4, 20.1.5, 20.1.6, 20.1.7 e 20.1.8, a multa será de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 xml:space="preserve">a </w:t>
      </w:r>
      <w:r>
        <w:rPr>
          <w:rFonts w:ascii="Verdana" w:hAnsi="Verdana"/>
          <w:color w:val="FF0000"/>
          <w:sz w:val="20"/>
          <w:szCs w:val="20"/>
        </w:rPr>
        <w:t>30%</w:t>
      </w:r>
      <w:r>
        <w:rPr>
          <w:rFonts w:ascii="Verdana" w:hAnsi="Verdana"/>
          <w:color w:val="0000FF"/>
          <w:sz w:val="20"/>
          <w:szCs w:val="20"/>
        </w:rPr>
        <w:t xml:space="preserve"> </w:t>
      </w:r>
      <w:r>
        <w:rPr>
          <w:rFonts w:ascii="Verdana" w:hAnsi="Verdana"/>
          <w:sz w:val="20"/>
          <w:szCs w:val="20"/>
        </w:rPr>
        <w:t>do valor do contrato licitado.</w:t>
      </w:r>
    </w:p>
    <w:p>
      <w:pPr>
        <w:pStyle w:val="Nivel2"/>
        <w:numPr>
          <w:ilvl w:val="0"/>
          <w:numId w:val="0"/>
        </w:numPr>
        <w:spacing w:lineRule="auto" w:line="240" w:before="57" w:after="57"/>
        <w:ind w:hanging="0" w:left="0"/>
        <w:rPr>
          <w:rFonts w:ascii="Verdana" w:hAnsi="Verdana"/>
        </w:rPr>
      </w:pPr>
      <w:r>
        <w:rPr>
          <w:rFonts w:ascii="Verdana" w:hAnsi="Verdana"/>
          <w:sz w:val="20"/>
          <w:szCs w:val="20"/>
        </w:rPr>
        <w:t>19.5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rPr>
      </w:pPr>
      <w:r>
        <w:rPr>
          <w:rFonts w:ascii="Verdana" w:hAnsi="Verdana"/>
          <w:sz w:val="20"/>
          <w:szCs w:val="20"/>
        </w:rPr>
        <w:t>19.6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rPr>
      </w:pPr>
      <w:r>
        <w:rPr>
          <w:rFonts w:ascii="Verdana" w:hAnsi="Verdana"/>
          <w:sz w:val="20"/>
          <w:szCs w:val="20"/>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sz w:val="20"/>
          <w:szCs w:val="20"/>
        </w:rPr>
        <w:t xml:space="preserve">19.8 Poderá ser aplicada ao responsável a sanção de declaração de inidoneidade para licitar ou contratar, em decorrência da prática das infrações dispostas nos itens 19.1.4, 19.1.5, 19.1.6, 19.1.7 e 19.1.8, bem como pelas infrações administrativas previstas nos itens 19.1.1, 19.1.2 e 19.1.3 que justifiquem a imposição de penalidade mais grave que a sanção de impedimento de licitar e contratar, cuja duração observará o prazo previsto no </w:t>
      </w:r>
      <w:r>
        <w:fldChar w:fldCharType="begin"/>
      </w:r>
      <w:r>
        <w:rPr>
          <w:rStyle w:val="Style6"/>
          <w:rFonts w:ascii="Verdana" w:hAnsi="Verdana"/>
          <w:color w:val="000000"/>
          <w:sz w:val="20"/>
          <w:szCs w:val="20"/>
        </w:rPr>
        <w:instrText xml:space="preserve"> HYPERLINK "http://www.planalto.gov.br/ccivil_03/_ato2019-2022/2021/lei/L14133.htm" \l "art156%C2%A75"</w:instrText>
      </w:r>
      <w:r>
        <w:rPr>
          <w:rStyle w:val="Style6"/>
          <w:rFonts w:ascii="Verdana" w:hAnsi="Verdana"/>
          <w:color w:val="000000"/>
          <w:sz w:val="20"/>
          <w:szCs w:val="20"/>
        </w:rPr>
        <w:fldChar w:fldCharType="separate"/>
      </w:r>
      <w:r>
        <w:rPr>
          <w:rStyle w:val="Style6"/>
          <w:rFonts w:ascii="Verdana" w:hAnsi="Verdana"/>
          <w:color w:val="000000"/>
          <w:sz w:val="20"/>
          <w:szCs w:val="20"/>
        </w:rPr>
        <w:t>art. 156, §5º, da Lei n.º 14.133/2021</w:t>
      </w:r>
      <w:r>
        <w:rPr>
          <w:rStyle w:val="Style6"/>
          <w:rFonts w:ascii="Verdana" w:hAnsi="Verdana"/>
          <w:color w:val="000000"/>
          <w:sz w:val="20"/>
          <w:szCs w:val="20"/>
        </w:rPr>
        <w:fldChar w:fldCharType="end"/>
      </w:r>
      <w:r>
        <w:rPr>
          <w:rFonts w:ascii="Verdana" w:hAnsi="Verdana"/>
          <w:sz w:val="20"/>
          <w:szCs w:val="20"/>
        </w:rPr>
        <w:t>.</w:t>
      </w:r>
    </w:p>
    <w:p>
      <w:pPr>
        <w:pStyle w:val="Nivel2"/>
        <w:numPr>
          <w:ilvl w:val="0"/>
          <w:numId w:val="0"/>
        </w:numPr>
        <w:spacing w:lineRule="auto" w:line="240" w:before="57" w:after="57"/>
        <w:ind w:hanging="0" w:left="0"/>
        <w:rPr/>
      </w:pPr>
      <w:r>
        <w:rPr>
          <w:rFonts w:ascii="Verdana" w:hAnsi="Verdana"/>
          <w:sz w:val="20"/>
          <w:szCs w:val="20"/>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Style6"/>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40" w:before="57" w:after="57"/>
        <w:ind w:hanging="0" w:left="0"/>
        <w:rPr>
          <w:rFonts w:ascii="Verdana" w:hAnsi="Verdana"/>
        </w:rPr>
      </w:pPr>
      <w:r>
        <w:rPr>
          <w:rFonts w:ascii="Verdana" w:hAnsi="Verdana"/>
          <w:sz w:val="20"/>
          <w:szCs w:val="20"/>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rPr>
      </w:pPr>
      <w:r>
        <w:rPr>
          <w:rFonts w:ascii="Verdana" w:hAnsi="Verdana"/>
          <w:sz w:val="20"/>
          <w:szCs w:val="20"/>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rPr>
      </w:pPr>
      <w:r>
        <w:rPr>
          <w:rFonts w:ascii="Verdana" w:hAnsi="Verdana"/>
          <w:sz w:val="20"/>
          <w:szCs w:val="20"/>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rPr>
      </w:pPr>
      <w:r>
        <w:rPr>
          <w:rFonts w:ascii="Verdana" w:hAnsi="Verdana"/>
          <w:sz w:val="20"/>
          <w:szCs w:val="20"/>
        </w:rPr>
        <w:t>19.12 O recurso e o pedido de reconsideração terão efeito suspensivo do ato ou da decisão recorrida até que sobrevenha decisão final da autoridade competente.</w:t>
      </w:r>
    </w:p>
    <w:p>
      <w:pPr>
        <w:pStyle w:val="Nivel2"/>
        <w:numPr>
          <w:ilvl w:val="0"/>
          <w:numId w:val="0"/>
        </w:numPr>
        <w:spacing w:lineRule="auto" w:line="240" w:before="57" w:after="57"/>
        <w:ind w:hanging="0" w:left="0"/>
        <w:rPr>
          <w:rFonts w:ascii="Verdana" w:hAnsi="Verdana"/>
        </w:rPr>
      </w:pPr>
      <w:r>
        <w:rPr>
          <w:rFonts w:cs="Arial" w:ascii="Verdana" w:hAnsi="Verdana"/>
          <w:sz w:val="20"/>
          <w:szCs w:val="20"/>
          <w:shd w:fill="FFFFFF" w:val="clear"/>
        </w:rPr>
        <w:t>19.13 A aplicação das sanções previstas neste edital não exclui, em hipótese alguma, a obrigação de reparação integral dos danos causados.</w:t>
      </w:r>
    </w:p>
    <w:p>
      <w:pPr>
        <w:pStyle w:val="Normal"/>
        <w:spacing w:lineRule="auto" w:line="240" w:before="57" w:after="57"/>
        <w:rPr>
          <w:rFonts w:ascii="Verdana" w:hAnsi="Verdana"/>
          <w:sz w:val="20"/>
          <w:szCs w:val="20"/>
        </w:rPr>
      </w:pPr>
      <w:r>
        <w:rPr>
          <w:rFonts w:ascii="Verdana" w:hAnsi="Verdana"/>
          <w:sz w:val="20"/>
          <w:szCs w:val="20"/>
        </w:rPr>
      </w:r>
    </w:p>
    <w:p>
      <w:pPr>
        <w:pStyle w:val="Nivel01"/>
        <w:spacing w:lineRule="auto" w:line="240" w:before="57" w:after="57"/>
        <w:rPr>
          <w:rFonts w:ascii="Verdana" w:hAnsi="Verdana"/>
        </w:rPr>
      </w:pPr>
      <w:r>
        <w:rPr>
          <w:rFonts w:cs="Arial" w:ascii="Verdana" w:hAnsi="Verdana"/>
          <w:sz w:val="20"/>
          <w:szCs w:val="20"/>
        </w:rPr>
        <w:t>20. DA IMPUGNAÇÃO AO EDITAL E DO PEDIDO DE ESCLARECIMENTO</w:t>
      </w:r>
    </w:p>
    <w:p>
      <w:pPr>
        <w:pStyle w:val="ListParagraph"/>
        <w:spacing w:lineRule="auto" w:line="240" w:before="57" w:after="57"/>
        <w:ind w:left="0"/>
        <w:contextualSpacing w:val="false"/>
        <w:jc w:val="both"/>
        <w:rPr>
          <w:rFonts w:ascii="Verdana" w:hAnsi="Verdana"/>
        </w:rPr>
      </w:pPr>
      <w:r>
        <w:rPr>
          <w:rFonts w:cs="Arial" w:ascii="Verdana" w:hAnsi="Verdana"/>
          <w:sz w:val="20"/>
          <w:szCs w:val="20"/>
        </w:rPr>
        <w:t xml:space="preserve">20.1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left="0"/>
        <w:contextualSpacing w:val="false"/>
        <w:jc w:val="both"/>
        <w:rPr/>
      </w:pPr>
      <w:r>
        <w:rPr>
          <w:rFonts w:cs="Arial" w:ascii="Verdana" w:hAnsi="Verdana"/>
          <w:color w:val="000000"/>
          <w:sz w:val="20"/>
          <w:szCs w:val="20"/>
        </w:rPr>
        <w:t xml:space="preserve">20.2 A impugnação poderá ser realizada por forma eletrônica, pelo e-mail </w:t>
      </w:r>
      <w:hyperlink r:id="rId10">
        <w:r>
          <w:rPr>
            <w:rStyle w:val="Style6"/>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20.3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20.4 Acolhida a impugnação, será definida e publicada nova data para a realização do certame.</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left="0"/>
        <w:contextualSpacing w:val="false"/>
        <w:jc w:val="both"/>
        <w:rPr>
          <w:rFonts w:ascii="Verdana" w:hAnsi="Verdana"/>
        </w:rPr>
      </w:pPr>
      <w:r>
        <w:rPr>
          <w:rFonts w:cs="Arial" w:ascii="Verdana" w:hAnsi="Verdana"/>
          <w:color w:val="000000"/>
          <w:sz w:val="20"/>
          <w:szCs w:val="20"/>
        </w:rPr>
        <w:t>20.7 As impugnações e pedidos de esclarecimentos não suspendem os prazos previstos no certame.</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rPr>
        <w:t>20.8 A concessão de efeito suspensivo à impugnação é medida excepcional e deverá ser motivada pelo pregoeiro, nos autos do processo de licitação.</w:t>
      </w:r>
    </w:p>
    <w:p>
      <w:pPr>
        <w:pStyle w:val="ListParagraph"/>
        <w:spacing w:lineRule="auto" w:line="240" w:before="0" w:after="0"/>
        <w:ind w:left="0"/>
        <w:contextualSpacing w:val="false"/>
        <w:jc w:val="both"/>
        <w:rPr>
          <w:rFonts w:ascii="Verdana" w:hAnsi="Verdana"/>
        </w:rPr>
      </w:pPr>
      <w:r>
        <w:rPr>
          <w:rFonts w:cs="Arial" w:ascii="Verdana" w:hAnsi="Verdana"/>
          <w:color w:val="000000"/>
          <w:sz w:val="20"/>
          <w:szCs w:val="20"/>
        </w:rPr>
        <w:t>20.9 As respostas aos pedidos de esclarecimentos serão divulgadas pelo sistema e vincularão os participantes e a administração.</w:t>
      </w:r>
    </w:p>
    <w:p>
      <w:pPr>
        <w:pStyle w:val="Normal"/>
        <w:spacing w:lineRule="auto" w:line="240" w:before="0" w:after="0"/>
        <w:rPr>
          <w:rFonts w:ascii="Verdana" w:hAnsi="Verdana"/>
          <w:sz w:val="20"/>
          <w:szCs w:val="20"/>
        </w:rPr>
      </w:pPr>
      <w:r>
        <w:rPr>
          <w:rFonts w:ascii="Verdana" w:hAnsi="Verdana"/>
          <w:sz w:val="20"/>
          <w:szCs w:val="20"/>
        </w:rPr>
      </w:r>
    </w:p>
    <w:p>
      <w:pPr>
        <w:pStyle w:val="Nivel01"/>
        <w:spacing w:lineRule="auto" w:line="240" w:before="0" w:after="0"/>
        <w:rPr>
          <w:rFonts w:ascii="Verdana" w:hAnsi="Verdana"/>
        </w:rPr>
      </w:pPr>
      <w:r>
        <w:rPr>
          <w:rFonts w:cs="Arial" w:ascii="Verdana" w:hAnsi="Verdana"/>
          <w:sz w:val="20"/>
          <w:szCs w:val="20"/>
        </w:rPr>
        <w:t>21. DAS DISPOSIÇÕES GERAIS</w:t>
      </w:r>
    </w:p>
    <w:p>
      <w:pPr>
        <w:pStyle w:val="Normal"/>
        <w:spacing w:lineRule="auto" w:line="240" w:before="57" w:after="57"/>
        <w:jc w:val="both"/>
        <w:rPr>
          <w:rFonts w:ascii="Verdana" w:hAnsi="Verdana"/>
        </w:rPr>
      </w:pPr>
      <w:r>
        <w:rPr>
          <w:rFonts w:cs="Arial" w:ascii="Verdana" w:hAnsi="Verdana"/>
          <w:color w:val="000000"/>
          <w:sz w:val="20"/>
          <w:szCs w:val="20"/>
        </w:rPr>
        <w:t>21.1 Da sessão pública do Pregão divulgar-se-á Ata no sistema eletrônico.</w:t>
      </w:r>
    </w:p>
    <w:p>
      <w:pPr>
        <w:pStyle w:val="Normal"/>
        <w:spacing w:lineRule="auto" w:line="240" w:before="57" w:after="57"/>
        <w:jc w:val="both"/>
        <w:rPr>
          <w:rFonts w:ascii="Verdana" w:hAnsi="Verdana"/>
        </w:rPr>
      </w:pPr>
      <w:r>
        <w:rPr>
          <w:rFonts w:cs="Arial" w:ascii="Verdana" w:hAnsi="Verdana"/>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rFonts w:ascii="Verdana" w:hAnsi="Verdana"/>
        </w:rPr>
      </w:pPr>
      <w:r>
        <w:rPr>
          <w:rFonts w:cs="Arial" w:ascii="Verdana" w:hAnsi="Verdana"/>
          <w:color w:val="000000"/>
          <w:sz w:val="20"/>
          <w:szCs w:val="20"/>
        </w:rPr>
        <w:t>21.3 Todas as referências de tempo no Edital, no aviso e durante a sessão pública observarão o horário de Brasília – DF.</w:t>
      </w:r>
    </w:p>
    <w:p>
      <w:pPr>
        <w:pStyle w:val="Normal"/>
        <w:spacing w:lineRule="auto" w:line="240" w:before="57" w:after="57"/>
        <w:jc w:val="both"/>
        <w:rPr>
          <w:rFonts w:ascii="Verdana" w:hAnsi="Verdana"/>
        </w:rPr>
      </w:pPr>
      <w:r>
        <w:rPr>
          <w:rFonts w:cs="Arial" w:ascii="Verdana" w:hAnsi="Verdana"/>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rFonts w:ascii="Verdana" w:hAnsi="Verdana"/>
        </w:rPr>
      </w:pPr>
      <w:r>
        <w:rPr>
          <w:rFonts w:cs="Arial" w:ascii="Verdana" w:hAnsi="Verdana"/>
          <w:color w:val="000000"/>
          <w:sz w:val="20"/>
          <w:szCs w:val="20"/>
        </w:rPr>
        <w:t>21.5 A homologação do resultado desta licitação não implicará direito à contratação.</w:t>
      </w:r>
    </w:p>
    <w:p>
      <w:pPr>
        <w:pStyle w:val="Normal"/>
        <w:spacing w:lineRule="auto" w:line="240" w:before="57" w:after="57"/>
        <w:jc w:val="both"/>
        <w:rPr>
          <w:rFonts w:ascii="Verdana" w:hAnsi="Verdana"/>
        </w:rPr>
      </w:pPr>
      <w:r>
        <w:rPr>
          <w:rFonts w:cs="Arial" w:ascii="Verdana" w:hAnsi="Verdana"/>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rFonts w:ascii="Verdana" w:hAnsi="Verdana"/>
        </w:rPr>
      </w:pPr>
      <w:r>
        <w:rPr>
          <w:rFonts w:cs="Arial" w:ascii="Verdana" w:hAnsi="Verdana"/>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rFonts w:ascii="Verdana" w:hAnsi="Verdana"/>
        </w:rPr>
      </w:pPr>
      <w:r>
        <w:rPr>
          <w:rFonts w:cs="Arial" w:ascii="Verdana" w:hAnsi="Verdana"/>
          <w:color w:val="000000"/>
          <w:sz w:val="20"/>
          <w:szCs w:val="20"/>
        </w:rPr>
        <w:t>21.8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rFonts w:ascii="Verdana" w:hAnsi="Verdana"/>
        </w:rPr>
      </w:pPr>
      <w:r>
        <w:rPr>
          <w:rFonts w:cs="Arial" w:ascii="Verdana" w:hAnsi="Verdana"/>
          <w:color w:val="000000"/>
          <w:sz w:val="20"/>
          <w:szCs w:val="20"/>
        </w:rPr>
        <w:t>21.9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rFonts w:ascii="Verdana" w:hAnsi="Verdana"/>
        </w:rPr>
      </w:pPr>
      <w:r>
        <w:rPr>
          <w:rFonts w:cs="Arial" w:ascii="Verdana" w:hAnsi="Verdana"/>
          <w:color w:val="000000"/>
          <w:sz w:val="20"/>
          <w:szCs w:val="20"/>
        </w:rPr>
        <w:t>21.10 Em caso de divergência entre disposições deste Edital e de seus anexos ou demais peças que compõem o processo, prevalecerá as deste Edital.</w:t>
      </w:r>
    </w:p>
    <w:p>
      <w:pPr>
        <w:pStyle w:val="Normal"/>
        <w:spacing w:lineRule="auto" w:line="240" w:before="0" w:after="0"/>
        <w:jc w:val="both"/>
        <w:rPr/>
      </w:pPr>
      <w:r>
        <w:rPr>
          <w:rFonts w:cs="Arial" w:ascii="Verdana" w:hAnsi="Verdana"/>
          <w:color w:val="000000"/>
          <w:sz w:val="20"/>
          <w:szCs w:val="20"/>
        </w:rPr>
        <w:t xml:space="preserve">21.11 O Edital está disponibilizado, na íntegra, no endereço eletrônico </w:t>
      </w:r>
      <w:r>
        <w:rPr>
          <w:rFonts w:cs="Arial" w:ascii="Verdana" w:hAnsi="Verdana"/>
          <w:color w:val="000000"/>
          <w:sz w:val="20"/>
          <w:szCs w:val="20"/>
          <w:u w:val="single"/>
        </w:rPr>
        <w:t xml:space="preserve">Portal de Compras Públicas – </w:t>
      </w:r>
      <w:hyperlink r:id="rId11">
        <w:bookmarkStart w:id="19" w:name="_Hlk123138684_Copia_1"/>
        <w:r>
          <w:rPr>
            <w:rStyle w:val="Style6"/>
            <w:rFonts w:cs="Arial" w:ascii="Verdana" w:hAnsi="Verdana"/>
            <w:b/>
            <w:bCs/>
            <w:color w:val="0563C1"/>
            <w:sz w:val="20"/>
            <w:szCs w:val="20"/>
            <w:u w:val="single"/>
          </w:rPr>
          <w:t>www.portaldecompraspublicas.com.br</w:t>
        </w:r>
      </w:hyperlink>
      <w:bookmarkEnd w:id="19"/>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2">
        <w:r>
          <w:rPr>
            <w:rStyle w:val="Style6"/>
            <w:rFonts w:ascii="Verdana" w:hAnsi="Verdana"/>
            <w:color w:val="000080"/>
            <w:sz w:val="20"/>
            <w:szCs w:val="20"/>
            <w:u w:val="single"/>
          </w:rPr>
          <w:t>licitacao@saogabriel.es.gov.br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40" w:before="57" w:after="57"/>
        <w:jc w:val="both"/>
        <w:rPr>
          <w:rFonts w:ascii="Verdana" w:hAnsi="Verdana"/>
        </w:rPr>
      </w:pPr>
      <w:r>
        <w:rPr>
          <w:rFonts w:cs="Arial" w:ascii="Verdana" w:hAnsi="Verdana"/>
          <w:color w:val="000000"/>
          <w:sz w:val="20"/>
          <w:szCs w:val="20"/>
        </w:rPr>
        <w:t>21.12 Integram este Edital, para todos os fins e efeitos, os seguintes anexos</w:t>
      </w:r>
    </w:p>
    <w:p>
      <w:pPr>
        <w:pStyle w:val="Normal"/>
        <w:spacing w:lineRule="auto" w:line="240" w:before="57" w:after="57"/>
        <w:jc w:val="both"/>
        <w:rPr>
          <w:rFonts w:ascii="Verdana" w:hAnsi="Verdana"/>
        </w:rPr>
      </w:pPr>
      <w:r>
        <w:rPr>
          <w:rFonts w:cs="Arial" w:ascii="Verdana" w:hAnsi="Verdana"/>
          <w:color w:val="000000"/>
          <w:sz w:val="20"/>
          <w:szCs w:val="20"/>
        </w:rPr>
        <w:t>21.12.1 ANEXO I – Termo de Referência;</w:t>
      </w:r>
    </w:p>
    <w:p>
      <w:pPr>
        <w:pStyle w:val="Normal"/>
        <w:spacing w:lineRule="auto" w:line="240" w:before="57" w:after="57"/>
        <w:jc w:val="both"/>
        <w:rPr>
          <w:rFonts w:ascii="Verdana" w:hAnsi="Verdana"/>
        </w:rPr>
      </w:pPr>
      <w:r>
        <w:rPr>
          <w:rFonts w:cs="Arial" w:ascii="Verdana" w:hAnsi="Verdana"/>
          <w:color w:val="000000"/>
          <w:sz w:val="20"/>
          <w:szCs w:val="20"/>
        </w:rPr>
        <w:t>21.12.1.1 ANEXO I-1 – Estudo Técnico Preliminar;</w:t>
      </w:r>
    </w:p>
    <w:p>
      <w:pPr>
        <w:pStyle w:val="Normal"/>
        <w:tabs>
          <w:tab w:val="clear" w:pos="720"/>
          <w:tab w:val="left" w:pos="800" w:leader="none"/>
        </w:tabs>
        <w:snapToGrid w:val="false"/>
        <w:spacing w:lineRule="auto" w:line="240" w:before="57" w:after="57"/>
        <w:jc w:val="both"/>
        <w:rPr>
          <w:rFonts w:ascii="Verdana" w:hAnsi="Verdana"/>
        </w:rPr>
      </w:pPr>
      <w:r>
        <w:rPr>
          <w:rFonts w:cs="Arial" w:ascii="Verdana" w:hAnsi="Verdana"/>
          <w:color w:val="000000"/>
          <w:sz w:val="20"/>
          <w:szCs w:val="20"/>
        </w:rPr>
        <w:t>21.12.2 ANEXO II – Modelo Orientativo de Proposta;</w:t>
      </w:r>
    </w:p>
    <w:p>
      <w:pPr>
        <w:pStyle w:val="Normal"/>
        <w:tabs>
          <w:tab w:val="clear" w:pos="720"/>
          <w:tab w:val="left" w:pos="800" w:leader="none"/>
        </w:tabs>
        <w:snapToGrid w:val="false"/>
        <w:spacing w:lineRule="auto" w:line="240" w:before="57" w:after="57"/>
        <w:jc w:val="both"/>
        <w:rPr>
          <w:rFonts w:ascii="Verdana" w:hAnsi="Verdana"/>
        </w:rPr>
      </w:pPr>
      <w:r>
        <w:rPr>
          <w:rFonts w:cs="Arial" w:ascii="Verdana" w:hAnsi="Verdana"/>
          <w:color w:val="000000"/>
          <w:sz w:val="20"/>
          <w:szCs w:val="20"/>
        </w:rPr>
        <w:t>21.12.3 ANEXO III – Minuta de Contrato;</w:t>
      </w:r>
    </w:p>
    <w:p>
      <w:pPr>
        <w:pStyle w:val="Normal"/>
        <w:tabs>
          <w:tab w:val="clear" w:pos="720"/>
          <w:tab w:val="left" w:pos="800" w:leader="none"/>
        </w:tabs>
        <w:snapToGrid w:val="false"/>
        <w:spacing w:lineRule="auto" w:line="240" w:before="57" w:after="57"/>
        <w:jc w:val="both"/>
        <w:rPr>
          <w:rFonts w:ascii="Verdana" w:hAnsi="Verdana"/>
        </w:rPr>
      </w:pPr>
      <w:r>
        <w:rPr>
          <w:rFonts w:cs="Arial" w:ascii="Verdana" w:hAnsi="Verdana"/>
          <w:color w:val="000000"/>
          <w:sz w:val="20"/>
          <w:szCs w:val="20"/>
        </w:rPr>
        <w:t>21.12.4 ANEXO IV – Cronograma de Entrega.</w:t>
      </w:r>
    </w:p>
    <w:p>
      <w:pPr>
        <w:pStyle w:val="Normal"/>
        <w:tabs>
          <w:tab w:val="clear" w:pos="720"/>
          <w:tab w:val="left" w:pos="800" w:leader="none"/>
        </w:tabs>
        <w:snapToGrid w:val="false"/>
        <w:spacing w:lineRule="auto" w:line="240" w:before="57" w:after="57"/>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20"/>
          <w:tab w:val="left" w:pos="567" w:leader="none"/>
        </w:tabs>
        <w:spacing w:lineRule="auto" w:line="240" w:before="57" w:after="57"/>
        <w:ind w:hanging="0" w:left="0"/>
        <w:jc w:val="center"/>
        <w:outlineLvl w:val="0"/>
        <w:rPr>
          <w:rFonts w:ascii="Verdana" w:hAnsi="Verdana"/>
        </w:rPr>
      </w:pPr>
      <w:r>
        <w:rPr>
          <w:rFonts w:cs="Arial" w:ascii="Verdana" w:hAnsi="Verdana"/>
          <w:color w:val="000000"/>
          <w:sz w:val="20"/>
          <w:szCs w:val="20"/>
        </w:rPr>
        <w:t>São Gabriel da Palha/ES, 13 de agosto de 2026.</w:t>
      </w:r>
    </w:p>
    <w:p>
      <w:pPr>
        <w:pStyle w:val="Normal"/>
        <w:tabs>
          <w:tab w:val="clear" w:pos="720"/>
          <w:tab w:val="left" w:pos="1440" w:leader="none"/>
        </w:tabs>
        <w:snapToGrid w:val="false"/>
        <w:spacing w:lineRule="auto" w:line="240"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40" w:before="57" w:after="57"/>
        <w:jc w:val="both"/>
        <w:rPr>
          <w:rFonts w:ascii="Verdana" w:hAnsi="Verdana" w:cs="Arial"/>
          <w:sz w:val="20"/>
          <w:szCs w:val="20"/>
        </w:rPr>
      </w:pPr>
      <w:r>
        <w:rPr>
          <w:rFonts w:cs="Arial" w:ascii="Verdana" w:hAnsi="Verdana"/>
          <w:sz w:val="20"/>
          <w:szCs w:val="20"/>
        </w:rPr>
      </w:r>
    </w:p>
    <w:p>
      <w:pPr>
        <w:pStyle w:val="Normal"/>
        <w:numPr>
          <w:ilvl w:val="0"/>
          <w:numId w:val="0"/>
        </w:numPr>
        <w:tabs>
          <w:tab w:val="clear" w:pos="720"/>
          <w:tab w:val="left" w:pos="567" w:leader="none"/>
        </w:tabs>
        <w:spacing w:lineRule="auto" w:line="240" w:before="57" w:after="57"/>
        <w:ind w:hanging="0" w:left="0"/>
        <w:jc w:val="center"/>
        <w:outlineLvl w:val="0"/>
        <w:rPr>
          <w:rFonts w:ascii="Verdana" w:hAnsi="Verdana"/>
        </w:rPr>
      </w:pPr>
      <w:r>
        <w:rPr>
          <w:rFonts w:cs="Arial" w:ascii="Verdana" w:hAnsi="Verdana"/>
          <w:b/>
          <w:bCs/>
          <w:color w:val="000000"/>
          <w:sz w:val="20"/>
          <w:szCs w:val="20"/>
        </w:rPr>
        <w:t>JANE LISLIE MARTINELLI DOS SANTOS</w:t>
      </w:r>
    </w:p>
    <w:p>
      <w:pPr>
        <w:pStyle w:val="Normal"/>
        <w:keepNext w:val="true"/>
        <w:keepLines/>
        <w:numPr>
          <w:ilvl w:val="0"/>
          <w:numId w:val="0"/>
        </w:numPr>
        <w:tabs>
          <w:tab w:val="clear" w:pos="720"/>
          <w:tab w:val="left" w:pos="567" w:leader="none"/>
        </w:tabs>
        <w:spacing w:lineRule="auto" w:line="240" w:before="57" w:after="57"/>
        <w:ind w:hanging="0" w:left="0"/>
        <w:jc w:val="center"/>
        <w:outlineLvl w:val="0"/>
        <w:rPr>
          <w:rFonts w:ascii="Verdana" w:hAnsi="Verdana"/>
        </w:rPr>
      </w:pPr>
      <w:r>
        <w:rPr>
          <w:rFonts w:cs="Arial" w:ascii="Verdana" w:hAnsi="Verdana"/>
          <w:b/>
          <w:bCs/>
          <w:color w:val="000000"/>
          <w:sz w:val="20"/>
          <w:szCs w:val="20"/>
        </w:rPr>
        <w:t>Secretária Municipal de Educação</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701" w:right="1134" w:gutter="0" w:header="517" w:top="1767" w:footer="158" w:bottom="82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roman"/>
    <w:pitch w:val="default"/>
  </w:font>
  <w:font w:name="Ecofont_Spranq_eco_Sans">
    <w:charset w:val="01"/>
    <w:family w:val="roman"/>
    <w:pitch w:val="default"/>
  </w:font>
  <w:font w:name="Calibri">
    <w:charset w:val="01"/>
    <w:family w:val="roman"/>
    <w:pitch w:val="default"/>
  </w:font>
  <w:font w:name="Tahoma">
    <w:charset w:val="01"/>
    <w:family w:val="roman"/>
    <w:pitch w:val="default"/>
  </w:font>
  <w:font w:name="Arial">
    <w:charset w:val="01"/>
    <w:family w:val="swiss"/>
    <w:pitch w:val="default"/>
  </w:font>
  <w:font w:name="OpenSymbol">
    <w:altName w:val="Arial Unicode MS"/>
    <w:charset w:val="02"/>
    <w:family w:val="roman"/>
    <w:pitch w:val="default"/>
  </w:font>
  <w:font w:name="Liberation Sans">
    <w:altName w:val="Arial"/>
    <w:charset w:val="01"/>
    <w:family w:val="swiss"/>
    <w:pitch w:val="default"/>
  </w:font>
  <w:font w:name="Verdana">
    <w:charset w:val="01"/>
    <w:family w:val="swiss"/>
    <w:pitch w:val="default"/>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cs="Calibri"/>
        <w:b/>
        <w:bCs/>
      </w:rPr>
    </w:pPr>
    <w:r>
      <w:rPr>
        <w:rFonts w:cs="Calibri"/>
        <w:b/>
        <w:bCs/>
      </w:rPr>
    </w:r>
  </w:p>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cs="Calibri"/>
        <w:b/>
        <w:bCs/>
      </w:rPr>
    </w:pPr>
    <w:r>
      <w:rPr>
        <w:rFonts w:cs="Calibri"/>
        <w:b/>
        <w:bCs/>
      </w:rPr>
    </w:r>
  </w:p>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distT="0" distB="0" distL="114935" distR="114935" simplePos="0" relativeHeight="20" behindDoc="1" locked="0" layoutInCell="0" allowOverlap="1">
          <wp:simplePos x="0" y="0"/>
          <wp:positionH relativeFrom="column">
            <wp:posOffset>-226695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a:noFill/>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distT="0" distB="0" distL="114935" distR="114935" simplePos="0" relativeHeight="20" behindDoc="1" locked="0" layoutInCell="0" allowOverlap="1">
          <wp:simplePos x="0" y="0"/>
          <wp:positionH relativeFrom="column">
            <wp:posOffset>-226695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a:noFill/>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false"/>
        <w:i w:val="false"/>
        <w:strike w:val="false"/>
        <w:dstrike w:val="false"/>
        <w:color w:val="auto"/>
        <w:sz w:val="20"/>
        <w:szCs w:val="20"/>
        <w:u w:val="none"/>
      </w:rPr>
    </w:lvl>
    <w:lvl w:ilvl="2">
      <w:start w:val="1"/>
      <w:numFmt w:val="decimal"/>
      <w:lvlText w:val="%1.%2.%3"/>
      <w:lvlJc w:val="left"/>
      <w:pPr>
        <w:tabs>
          <w:tab w:val="num" w:pos="0"/>
        </w:tabs>
        <w:ind w:left="1638" w:hanging="504"/>
      </w:pPr>
      <w:rPr>
        <w:rFonts w:ascii="Verdana" w:hAnsi="Verdana" w:cs="Arial"/>
        <w:b w:val="false"/>
        <w:i w:val="false"/>
        <w:strike w:val="false"/>
        <w:dstrike w:val="false"/>
        <w:color w:val="auto"/>
        <w:sz w:val="20"/>
        <w:szCs w:val="2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b/>
        <w:i w:val="false"/>
        <w:strike w:val="false"/>
        <w:dstrike w:val="false"/>
      </w:rPr>
    </w:lvl>
    <w:lvl w:ilvl="1">
      <w:start w:val="1"/>
      <w:numFmt w:val="decimal"/>
      <w:lvlText w:val="%1.%2"/>
      <w:lvlJc w:val="left"/>
      <w:pPr>
        <w:tabs>
          <w:tab w:val="num" w:pos="0"/>
        </w:tabs>
        <w:ind w:left="858" w:hanging="432"/>
      </w:pPr>
      <w:rPr>
        <w:b w:val="false"/>
        <w:strike w:val="false"/>
        <w:dstrike w:val="false"/>
      </w:rPr>
    </w:lvl>
    <w:lvl w:ilvl="2">
      <w:start w:val="1"/>
      <w:numFmt w:val="decimal"/>
      <w:lvlText w:val="%1.%2.%3"/>
      <w:lvlJc w:val="left"/>
      <w:pPr>
        <w:tabs>
          <w:tab w:val="num" w:pos="0"/>
        </w:tabs>
        <w:ind w:left="1224" w:hanging="504"/>
      </w:pPr>
      <w:rPr>
        <w:i w:val="false"/>
        <w:strike w:val="false"/>
        <w:dstrike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bullet"/>
      <w:lvlText w:val=""/>
      <w:lvlJc w:val="left"/>
      <w:pPr>
        <w:tabs>
          <w:tab w:val="num" w:pos="788"/>
        </w:tabs>
        <w:ind w:left="788" w:hanging="360"/>
      </w:pPr>
      <w:rPr>
        <w:rFonts w:ascii="Wingdings" w:hAnsi="Wingdings" w:cs="Wingdings" w:hint="default"/>
        <w:sz w:val="19"/>
        <w:szCs w:val="19"/>
      </w:rPr>
    </w:lvl>
    <w:lvl w:ilvl="1">
      <w:start w:val="1"/>
      <w:numFmt w:val="bullet"/>
      <w:lvlText w:val="◦"/>
      <w:lvlJc w:val="left"/>
      <w:pPr>
        <w:tabs>
          <w:tab w:val="num" w:pos="1148"/>
        </w:tabs>
        <w:ind w:left="1148" w:hanging="360"/>
      </w:pPr>
      <w:rPr>
        <w:rFonts w:ascii="OpenSymbol" w:hAnsi="OpenSymbol" w:cs="OpenSymbol" w:hint="default"/>
        <w:sz w:val="19"/>
        <w:szCs w:val="19"/>
      </w:rPr>
    </w:lvl>
    <w:lvl w:ilvl="2">
      <w:start w:val="1"/>
      <w:numFmt w:val="bullet"/>
      <w:lvlText w:val="▪"/>
      <w:lvlJc w:val="left"/>
      <w:pPr>
        <w:tabs>
          <w:tab w:val="num" w:pos="1508"/>
        </w:tabs>
        <w:ind w:left="1508" w:hanging="360"/>
      </w:pPr>
      <w:rPr>
        <w:rFonts w:ascii="OpenSymbol" w:hAnsi="OpenSymbol" w:cs="OpenSymbol" w:hint="default"/>
        <w:sz w:val="19"/>
        <w:szCs w:val="19"/>
      </w:rPr>
    </w:lvl>
    <w:lvl w:ilvl="3">
      <w:start w:val="1"/>
      <w:numFmt w:val="bullet"/>
      <w:lvlText w:val=""/>
      <w:lvlJc w:val="left"/>
      <w:pPr>
        <w:tabs>
          <w:tab w:val="num" w:pos="1868"/>
        </w:tabs>
        <w:ind w:left="1868" w:hanging="360"/>
      </w:pPr>
      <w:rPr>
        <w:rFonts w:ascii="Symbol" w:hAnsi="Symbol" w:cs="Symbol" w:hint="default"/>
        <w:sz w:val="19"/>
        <w:szCs w:val="19"/>
      </w:rPr>
    </w:lvl>
    <w:lvl w:ilvl="4">
      <w:start w:val="1"/>
      <w:numFmt w:val="bullet"/>
      <w:lvlText w:val="◦"/>
      <w:lvlJc w:val="left"/>
      <w:pPr>
        <w:tabs>
          <w:tab w:val="num" w:pos="2228"/>
        </w:tabs>
        <w:ind w:left="2228" w:hanging="360"/>
      </w:pPr>
      <w:rPr>
        <w:rFonts w:ascii="OpenSymbol" w:hAnsi="OpenSymbol" w:cs="OpenSymbol" w:hint="default"/>
        <w:sz w:val="19"/>
        <w:szCs w:val="19"/>
      </w:rPr>
    </w:lvl>
    <w:lvl w:ilvl="5">
      <w:start w:val="1"/>
      <w:numFmt w:val="bullet"/>
      <w:lvlText w:val="▪"/>
      <w:lvlJc w:val="left"/>
      <w:pPr>
        <w:tabs>
          <w:tab w:val="num" w:pos="2588"/>
        </w:tabs>
        <w:ind w:left="2588" w:hanging="360"/>
      </w:pPr>
      <w:rPr>
        <w:rFonts w:ascii="OpenSymbol" w:hAnsi="OpenSymbol" w:cs="OpenSymbol" w:hint="default"/>
        <w:sz w:val="19"/>
        <w:szCs w:val="19"/>
      </w:rPr>
    </w:lvl>
    <w:lvl w:ilvl="6">
      <w:start w:val="1"/>
      <w:numFmt w:val="bullet"/>
      <w:lvlText w:val=""/>
      <w:lvlJc w:val="left"/>
      <w:pPr>
        <w:tabs>
          <w:tab w:val="num" w:pos="2948"/>
        </w:tabs>
        <w:ind w:left="2948" w:hanging="360"/>
      </w:pPr>
      <w:rPr>
        <w:rFonts w:ascii="Symbol" w:hAnsi="Symbol" w:cs="Symbol" w:hint="default"/>
        <w:sz w:val="19"/>
        <w:szCs w:val="19"/>
      </w:rPr>
    </w:lvl>
    <w:lvl w:ilvl="7">
      <w:start w:val="1"/>
      <w:numFmt w:val="bullet"/>
      <w:lvlText w:val="◦"/>
      <w:lvlJc w:val="left"/>
      <w:pPr>
        <w:tabs>
          <w:tab w:val="num" w:pos="3308"/>
        </w:tabs>
        <w:ind w:left="3308" w:hanging="360"/>
      </w:pPr>
      <w:rPr>
        <w:rFonts w:ascii="OpenSymbol" w:hAnsi="OpenSymbol" w:cs="OpenSymbol" w:hint="default"/>
        <w:sz w:val="19"/>
        <w:szCs w:val="19"/>
      </w:rPr>
    </w:lvl>
    <w:lvl w:ilvl="8">
      <w:start w:val="1"/>
      <w:numFmt w:val="bullet"/>
      <w:lvlText w:val="▪"/>
      <w:lvlJc w:val="left"/>
      <w:pPr>
        <w:tabs>
          <w:tab w:val="num" w:pos="3668"/>
        </w:tabs>
        <w:ind w:left="3668" w:hanging="360"/>
      </w:pPr>
      <w:rPr>
        <w:rFonts w:ascii="OpenSymbol" w:hAnsi="OpenSymbol" w:cs="OpenSymbol" w:hint="default"/>
        <w:sz w:val="19"/>
        <w:szCs w:val="19"/>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fals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Comment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user" w:customStyle="1">
    <w:name w:val="Símbolos de numeração (user)"/>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qFormat/>
    <w:rPr>
      <w:color w:val="000080"/>
      <w:u w:val="single"/>
    </w:rPr>
  </w:style>
  <w:style w:type="character" w:styleId="Hyperlink2" w:customStyle="1">
    <w:name w:val="Hyperlink2"/>
    <w:basedOn w:val="DefaultParagraphFont"/>
    <w:qFormat/>
    <w:rPr>
      <w:color w:val="0563C1"/>
      <w:u w:val="single"/>
    </w:rPr>
  </w:style>
  <w:style w:type="character" w:styleId="Marcadoresuser" w:customStyle="1">
    <w:name w:val="Marcadores (user)"/>
    <w:qFormat/>
    <w:rPr>
      <w:rFonts w:ascii="OpenSymbol" w:hAnsi="OpenSymbol" w:eastAsia="OpenSymbol" w:cs="OpenSymbol"/>
      <w:sz w:val="19"/>
      <w:szCs w:val="19"/>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InternetLink6" w:customStyle="1">
    <w:name w:val="Internet Link6"/>
    <w:qFormat/>
    <w:rPr>
      <w:color w:val="000080"/>
      <w:u w:val="single"/>
    </w:rPr>
  </w:style>
  <w:style w:type="character" w:styleId="InternetLink7" w:customStyle="1">
    <w:name w:val="Internet Link7"/>
    <w:qFormat/>
    <w:rPr>
      <w:color w:val="000080"/>
      <w:u w:val="single"/>
    </w:rPr>
  </w:style>
  <w:style w:type="character" w:styleId="InternetLink8">
    <w:name w:val="Internet Link8"/>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name w:val="Índice"/>
    <w:basedOn w:val="Normal"/>
    <w:qFormat/>
    <w:pPr>
      <w:suppressLineNumbers/>
    </w:pPr>
    <w:rPr>
      <w:rFonts w:ascii="Times New Roman" w:hAnsi="Times New Roman"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customStyle="1">
    <w:name w:val="Índice (user)"/>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customStyle="1">
    <w:name w:val="Cabeçalho e rodapé7"/>
    <w:basedOn w:val="Normal"/>
    <w:qFormat/>
    <w:pPr/>
    <w:rPr/>
  </w:style>
  <w:style w:type="paragraph" w:styleId="Cabealhoerodap8" w:customStyle="1">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Cabealhoerodap11">
    <w:name w:val="Cabeçalho e rodapé11"/>
    <w:basedOn w:val="Normal"/>
    <w:qFormat/>
    <w:pPr/>
    <w:rPr/>
  </w:style>
  <w:style w:type="paragraph" w:styleId="Cabealhoerodap12">
    <w:name w:val="Cabeçalho e rodapé12"/>
    <w:basedOn w:val="Normal"/>
    <w:qFormat/>
    <w:pPr/>
    <w:rPr/>
  </w:style>
  <w:style w:type="paragraph" w:styleId="Cabealhoerodap13">
    <w:name w:val="Cabeçalho e rodapé13"/>
    <w:basedOn w:val="Normal"/>
    <w:qFormat/>
    <w:pPr/>
    <w:rPr/>
  </w:style>
  <w:style w:type="paragraph" w:styleId="Cabealhoerodap14">
    <w:name w:val="Cabeçalho e rodapé14"/>
    <w:basedOn w:val="Normal"/>
    <w:qFormat/>
    <w:pPr/>
    <w:rPr/>
  </w:style>
  <w:style w:type="paragraph" w:styleId="Cabealhoerodap15">
    <w:name w:val="Cabeçalho e rodapé15"/>
    <w:basedOn w:val="Normal"/>
    <w:qFormat/>
    <w:pPr/>
    <w:rPr/>
  </w:style>
  <w:style w:type="paragraph" w:styleId="Cabealhoerodap16">
    <w:name w:val="Cabeçalho e rodapé16"/>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CommentText">
    <w:name w:val="annotation text"/>
    <w:basedOn w:val="Normal"/>
    <w:pPr/>
    <w:rPr>
      <w:sz w:val="20"/>
      <w:szCs w:val="20"/>
    </w:rPr>
  </w:style>
  <w:style w:type="paragraph" w:styleId="annotationsubject">
    <w:name w:val="annotation subject"/>
    <w:basedOn w:val="CommentText"/>
    <w:next w:val="Comment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qFormat/>
    <w:pPr>
      <w:widowControl/>
      <w:numPr>
        <w:ilvl w:val="0"/>
        <w:numId w:val="3"/>
      </w:numPr>
      <w:suppressAutoHyphens w:val="true"/>
      <w:overflowPunct w:val="fals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overflowPunct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normal1" w:customStyle="1">
    <w:name w:val="normal1"/>
    <w:qFormat/>
    <w:pPr>
      <w:widowControl/>
      <w:suppressAutoHyphens w:val="true"/>
      <w:overflowPunct w:val="false"/>
      <w:bidi w:val="0"/>
      <w:spacing w:before="0" w:after="0"/>
      <w:jc w:val="left"/>
    </w:pPr>
    <w:rPr>
      <w:rFonts w:ascii="Times New Roman" w:hAnsi="Times New Roman" w:eastAsia="NSimSun" w:cs="Arial"/>
      <w:color w:val="auto"/>
      <w:kern w:val="0"/>
      <w:sz w:val="20"/>
      <w:szCs w:val="20"/>
      <w:lang w:val="en-US" w:eastAsia="zh-CN" w:bidi="hi-IN"/>
    </w:rPr>
  </w:style>
  <w:style w:type="numbering" w:styleId="Semlistauser" w:default="1">
    <w:name w:val="Sem lista (user)"/>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http://www.portaldecompraspublicas.com.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555</TotalTime>
  <Application>LibreOffice/26.2.5.2$Windows_X86_64 LibreOffice_project/cd7284b4cbbfeb507e630c1aac019f4157393acb</Application>
  <AppVersion>15.0000</AppVersion>
  <Pages>19</Pages>
  <Words>9807</Words>
  <Characters>55492</Characters>
  <CharactersWithSpaces>64901</CharactersWithSpaces>
  <Paragraphs>362</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2025-02-18T17:19:00Z</dcterms:created>
  <dc:creator>Compras</dc:creator>
  <dc:description/>
  <dc:language>pt-BR</dc:language>
  <cp:lastModifiedBy/>
  <cp:lastPrinted>2026-07-29T14:06:46Z</cp:lastPrinted>
  <dcterms:modified xsi:type="dcterms:W3CDTF">2026-08-24T13:59:03Z</dcterms:modified>
  <cp:revision>36</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